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360" w:lineRule="auto"/>
        <w:ind w:firstLine="643"/>
        <w:jc w:val="center"/>
        <w:rPr>
          <w:rFonts w:ascii="仿宋_GB2312" w:eastAsia="仿宋_GB2312" w:cs="Times New Roman"/>
          <w:b/>
          <w:bCs/>
          <w:sz w:val="32"/>
          <w:szCs w:val="32"/>
        </w:rPr>
      </w:pPr>
      <w:bookmarkStart w:id="9" w:name="_GoBack"/>
      <w:bookmarkEnd w:id="9"/>
      <w:r>
        <w:rPr>
          <w:rFonts w:hint="eastAsia" w:ascii="仿宋_GB2312" w:eastAsia="仿宋_GB2312"/>
          <w:b/>
          <w:bCs/>
          <w:sz w:val="32"/>
          <w:szCs w:val="32"/>
        </w:rPr>
        <w:t>高速POC型干式煤气柜制作安装技术的研究及应用</w:t>
      </w:r>
    </w:p>
    <w:p>
      <w:pPr>
        <w:pStyle w:val="7"/>
        <w:adjustRightInd w:val="0"/>
        <w:snapToGrid w:val="0"/>
        <w:spacing w:line="360" w:lineRule="auto"/>
        <w:ind w:firstLine="562" w:firstLineChars="200"/>
        <w:rPr>
          <w:rFonts w:ascii="仿宋_GB2312" w:eastAsia="仿宋_GB2312"/>
          <w:sz w:val="28"/>
          <w:szCs w:val="28"/>
        </w:rPr>
      </w:pPr>
      <w:r>
        <w:rPr>
          <w:rStyle w:val="10"/>
          <w:rFonts w:hint="eastAsia" w:ascii="仿宋_GB2312" w:eastAsia="仿宋_GB2312"/>
          <w:sz w:val="28"/>
          <w:szCs w:val="28"/>
        </w:rPr>
        <w:t>一、项目基本情况</w:t>
      </w:r>
    </w:p>
    <w:p>
      <w:pPr>
        <w:pStyle w:val="3"/>
        <w:adjustRightInd w:val="0"/>
        <w:snapToGrid w:val="0"/>
        <w:spacing w:after="0" w:line="360" w:lineRule="auto"/>
        <w:ind w:firstLine="560" w:firstLineChars="200"/>
        <w:rPr>
          <w:rFonts w:ascii="仿宋_GB2312" w:eastAsia="仿宋_GB2312"/>
          <w:kern w:val="0"/>
        </w:rPr>
      </w:pPr>
      <w:r>
        <w:rPr>
          <w:rFonts w:hint="eastAsia" w:ascii="仿宋_GB2312" w:eastAsia="仿宋_GB2312"/>
        </w:rPr>
        <w:t>项目名称：</w:t>
      </w:r>
      <w:r>
        <w:rPr>
          <w:rFonts w:hint="eastAsia" w:ascii="仿宋_GB2312" w:eastAsia="仿宋_GB2312"/>
          <w:kern w:val="0"/>
        </w:rPr>
        <w:t>高速POC型干式煤气柜制作安装技术的研究及应用</w:t>
      </w:r>
    </w:p>
    <w:p>
      <w:pPr>
        <w:pStyle w:val="3"/>
        <w:adjustRightInd w:val="0"/>
        <w:snapToGrid w:val="0"/>
        <w:spacing w:after="0" w:line="360" w:lineRule="auto"/>
        <w:ind w:firstLine="560" w:firstLineChars="200"/>
        <w:rPr>
          <w:rFonts w:ascii="仿宋_GB2312" w:eastAsia="仿宋_GB2312" w:cs="Times New Roman"/>
          <w:b/>
          <w:bCs/>
        </w:rPr>
      </w:pPr>
      <w:r>
        <w:rPr>
          <w:rFonts w:hint="eastAsia" w:ascii="仿宋_GB2312" w:eastAsia="仿宋_GB2312"/>
          <w:kern w:val="0"/>
        </w:rPr>
        <w:t>科技成果登记号：16420170001</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主要完成人：</w:t>
      </w:r>
      <w:r>
        <w:rPr>
          <w:rFonts w:hint="eastAsia" w:ascii="仿宋_GB2312" w:eastAsia="仿宋_GB2312" w:cs="Arial"/>
          <w:sz w:val="28"/>
          <w:szCs w:val="28"/>
        </w:rPr>
        <w:t>华志宇、王伟、沈家文、李文、曹云祥、谢应聪、张正东、高龙、刘旭辉、谭宝伟、张瑜、肖飞、黄金金、陈振峰、左国祥</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主要完成单位：云南建投安装股份有限公司、云南省建设投资控股集团有限公司</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推荐单位：云南省建设投资控股集团有限公司</w:t>
      </w:r>
    </w:p>
    <w:p>
      <w:pPr>
        <w:pStyle w:val="7"/>
        <w:adjustRightInd w:val="0"/>
        <w:snapToGrid w:val="0"/>
        <w:spacing w:line="360" w:lineRule="auto"/>
        <w:ind w:firstLine="562" w:firstLineChars="200"/>
        <w:rPr>
          <w:rFonts w:ascii="仿宋_GB2312" w:eastAsia="仿宋_GB2312"/>
          <w:sz w:val="28"/>
          <w:szCs w:val="28"/>
        </w:rPr>
      </w:pPr>
      <w:r>
        <w:rPr>
          <w:rStyle w:val="10"/>
          <w:rFonts w:hint="eastAsia" w:ascii="仿宋_GB2312" w:eastAsia="仿宋_GB2312"/>
          <w:sz w:val="28"/>
          <w:szCs w:val="28"/>
        </w:rPr>
        <w:t>二、项目简介</w:t>
      </w:r>
    </w:p>
    <w:p>
      <w:pPr>
        <w:pStyle w:val="7"/>
        <w:adjustRightInd w:val="0"/>
        <w:snapToGrid w:val="0"/>
        <w:spacing w:line="360" w:lineRule="auto"/>
        <w:ind w:firstLine="560" w:firstLineChars="200"/>
        <w:rPr>
          <w:rFonts w:ascii="仿宋_GB2312" w:eastAsia="仿宋_GB2312"/>
          <w:sz w:val="28"/>
          <w:szCs w:val="28"/>
        </w:rPr>
      </w:pPr>
      <w:bookmarkStart w:id="0" w:name="_Toc438109509"/>
      <w:r>
        <w:rPr>
          <w:rFonts w:hint="eastAsia" w:ascii="仿宋_GB2312" w:eastAsia="仿宋_GB2312"/>
          <w:sz w:val="28"/>
          <w:szCs w:val="28"/>
        </w:rPr>
        <w:t>随着国家节能降耗产业政策的推行，研发一种高效、运行可靠的煤气柜成为煤气柜使用单位的一致追求。由于活塞运行速度越快、煤气柜吞吐量越大，需要的柜容越小、造价越低，高速POC型煤气柜的开发成为发展方向。云南建投安装股份有限公司与中冶赛迪合作，以上海宝钢湛江钢铁公司15万m</w:t>
      </w:r>
      <w:r>
        <w:rPr>
          <w:rFonts w:hint="eastAsia"/>
          <w:sz w:val="28"/>
          <w:szCs w:val="28"/>
        </w:rPr>
        <w:t>³</w:t>
      </w:r>
      <w:r>
        <w:rPr>
          <w:rFonts w:hint="eastAsia" w:ascii="仿宋_GB2312" w:hAnsi="仿宋_GB2312" w:eastAsia="仿宋_GB2312" w:cs="仿宋_GB2312"/>
          <w:sz w:val="28"/>
          <w:szCs w:val="28"/>
        </w:rPr>
        <w:t>焦炉煤气柜、</w:t>
      </w:r>
      <w:r>
        <w:rPr>
          <w:rFonts w:hint="eastAsia" w:ascii="仿宋_GB2312" w:eastAsia="仿宋_GB2312"/>
          <w:sz w:val="28"/>
          <w:szCs w:val="28"/>
        </w:rPr>
        <w:t>30万m</w:t>
      </w:r>
      <w:r>
        <w:rPr>
          <w:rFonts w:hint="eastAsia"/>
          <w:sz w:val="28"/>
          <w:szCs w:val="28"/>
        </w:rPr>
        <w:t>³</w:t>
      </w:r>
      <w:r>
        <w:rPr>
          <w:rFonts w:hint="eastAsia" w:ascii="仿宋_GB2312" w:hAnsi="仿宋_GB2312" w:eastAsia="仿宋_GB2312" w:cs="仿宋_GB2312"/>
          <w:sz w:val="28"/>
          <w:szCs w:val="28"/>
        </w:rPr>
        <w:t>高炉煤气柜建设为契机，全力研发活塞运行速度达到</w:t>
      </w:r>
      <w:r>
        <w:rPr>
          <w:rFonts w:hint="eastAsia" w:ascii="仿宋_GB2312" w:eastAsia="仿宋_GB2312"/>
          <w:sz w:val="28"/>
          <w:szCs w:val="28"/>
        </w:rPr>
        <w:t>3300mm/mim—4000mm/mim的高速新型POC型煤气柜。活塞运行速度的提高，意味着煤气柜制作安装精度的大幅度提升，原成熟的POC型干式煤气柜制作安装技术已不能满足要求。为此，公司研发出了高速POC型干式煤气柜制作安装技术。</w:t>
      </w:r>
      <w:bookmarkEnd w:id="0"/>
      <w:bookmarkStart w:id="1" w:name="_Toc438109511"/>
      <w:bookmarkStart w:id="2" w:name="_Toc438116261"/>
      <w:r>
        <w:rPr>
          <w:rFonts w:hint="eastAsia" w:ascii="仿宋_GB2312" w:eastAsia="仿宋_GB2312"/>
          <w:sz w:val="28"/>
          <w:szCs w:val="28"/>
        </w:rPr>
        <w:t>项目技术原理及</w:t>
      </w:r>
      <w:bookmarkEnd w:id="1"/>
      <w:bookmarkEnd w:id="2"/>
      <w:r>
        <w:rPr>
          <w:rFonts w:hint="eastAsia" w:ascii="仿宋_GB2312" w:eastAsia="仿宋_GB2312"/>
          <w:sz w:val="28"/>
          <w:szCs w:val="28"/>
        </w:rPr>
        <w:t>性能指标如下：</w:t>
      </w:r>
    </w:p>
    <w:p>
      <w:pPr>
        <w:pStyle w:val="7"/>
        <w:adjustRightInd w:val="0"/>
        <w:snapToGrid w:val="0"/>
        <w:spacing w:line="360" w:lineRule="auto"/>
        <w:ind w:firstLine="562" w:firstLineChars="200"/>
        <w:rPr>
          <w:rFonts w:ascii="仿宋_GB2312" w:eastAsia="仿宋_GB2312"/>
          <w:b/>
          <w:sz w:val="28"/>
          <w:szCs w:val="28"/>
        </w:rPr>
      </w:pPr>
      <w:r>
        <w:rPr>
          <w:rFonts w:hint="eastAsia" w:ascii="仿宋_GB2312" w:eastAsia="仿宋_GB2312"/>
          <w:b/>
          <w:sz w:val="28"/>
          <w:szCs w:val="28"/>
        </w:rPr>
        <w:t>1.项目技术原理</w:t>
      </w:r>
    </w:p>
    <w:p>
      <w:pPr>
        <w:pStyle w:val="7"/>
        <w:adjustRightInd w:val="0"/>
        <w:snapToGrid w:val="0"/>
        <w:spacing w:line="360" w:lineRule="auto"/>
        <w:ind w:firstLine="560" w:firstLineChars="200"/>
        <w:rPr>
          <w:rFonts w:ascii="仿宋_GB2312" w:eastAsia="仿宋_GB2312"/>
          <w:sz w:val="28"/>
          <w:szCs w:val="28"/>
        </w:rPr>
      </w:pPr>
      <w:bookmarkStart w:id="3" w:name="_Toc438116262"/>
      <w:bookmarkStart w:id="4" w:name="_Toc438109518"/>
      <w:r>
        <w:rPr>
          <w:rFonts w:hint="eastAsia" w:ascii="仿宋_GB2312" w:eastAsia="仿宋_GB2312"/>
          <w:sz w:val="28"/>
          <w:szCs w:val="28"/>
        </w:rPr>
        <w:t>1.1  侧板制作工艺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在原有POC型气柜侧板制造工艺基础上研发了高速POC型气柜侧板制造工艺，调整了工艺安装孔位置。</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1.2  立柱制作工艺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研发高速POC型气柜立柱制造工艺，提高立柱制造精度，增加了立柱两端安装螺栓孔直线度的检查工序和立柱预组对工序，用于检查立柱制造直线度，并保证安装后前后两段立柱的直线度。</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1.3  活塞制作工艺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活塞骨架在制造前的零部件拆分图纸中，根据焊接收缩余量，重新计算活塞径向梁及周向梁的曲率半径与下料长度，以保证活塞拱顶在活塞板焊接完成后活塞拱顶曲率半径符合设计图纸曲率半径。</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1.4  活塞安装工艺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活塞安装工艺是POC型高速气柜的关键安装工艺之一。主要实现目标：在地面安装的活塞系统，必须满足利用未施加混凝土配重的活塞浮升安装的气柜筒体与施加了混凝土配重的活塞相匹配，且必须考虑气柜筒体的焊接收缩变形。</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1.5  侧板立柱安装焊接工艺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侧板立柱安装焊接工艺除在原有施工工艺要求上， 在安装焊接侧板、回廊时，气柜内部进行保压；在侧板焊接工装全部顶紧后，方可按照工艺焊接。</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1.6  高速POC型气柜调试工艺</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8经过3个月的反复摸索、精心调试，宝钢湛江钢铁公司15万m</w:t>
      </w:r>
      <w:r>
        <w:rPr>
          <w:rFonts w:hint="eastAsia"/>
          <w:sz w:val="28"/>
          <w:szCs w:val="28"/>
        </w:rPr>
        <w:t>³</w:t>
      </w:r>
      <w:r>
        <w:rPr>
          <w:rFonts w:hint="eastAsia" w:ascii="仿宋_GB2312" w:eastAsia="仿宋_GB2312"/>
          <w:sz w:val="28"/>
          <w:szCs w:val="28"/>
        </w:rPr>
        <w:t>POC型高炉煤气柜快降试验由1800mm/min开始，分台阶逐步提高活塞降落速度，最终达到4000 mm/min；降落过程中，电脑记录瞬间最大降落速度4570mm/min，整个降落过程计时12分钟，行程42mm。</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1.7  侧板立柱浮升安装焊接工装设施</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侧板立柱浮升安装工装增加设施有以下：气柜辅助保压工装设施、侧板内侧焊接工装设施、侧板外侧焊接工装设施、活塞油沟自动供水装置。</w:t>
      </w:r>
    </w:p>
    <w:p>
      <w:pPr>
        <w:pStyle w:val="7"/>
        <w:adjustRightInd w:val="0"/>
        <w:snapToGrid w:val="0"/>
        <w:spacing w:line="360" w:lineRule="auto"/>
        <w:ind w:firstLine="562" w:firstLineChars="200"/>
        <w:rPr>
          <w:rFonts w:ascii="仿宋_GB2312" w:eastAsia="仿宋_GB2312"/>
          <w:b/>
          <w:sz w:val="28"/>
          <w:szCs w:val="28"/>
        </w:rPr>
      </w:pPr>
      <w:r>
        <w:rPr>
          <w:rFonts w:hint="eastAsia" w:ascii="仿宋_GB2312" w:eastAsia="仿宋_GB2312"/>
          <w:b/>
          <w:sz w:val="28"/>
          <w:szCs w:val="28"/>
        </w:rPr>
        <w:t>2.性能指标</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2.1  15万m3高速POC型焦炉煤气柜</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15万m3高速POC型焦炉煤气柜调试完成，实现了以下运行技术指标：</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1）活塞运行速度：设计≥3300mm/min，实际运行3450mm/min；</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2）活塞运行水平倾斜度：设计≤D/1000=51mm（D为柜体直径），实际参数45mm；</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3）活塞运行水平旋转量：设计≤3mm，实际参数0～3mm；</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4）单座油泵站昼夜启动次数：设计20次/昼夜，实际参数14次/昼夜；</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5）活塞压力波动：设计≤150Pa，实际≤85 Pa；</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6）柜体储气压力：最大15kPa，运行参数8.2 kPa；</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7）柜体型心偏移：实际≤25mm，设计参数≤50mm。</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2.2  30万m</w:t>
      </w:r>
      <w:r>
        <w:rPr>
          <w:rFonts w:hint="eastAsia" w:ascii="仿宋_GB2312" w:eastAsia="仿宋_GB2312"/>
          <w:sz w:val="28"/>
          <w:szCs w:val="28"/>
          <w:vertAlign w:val="superscript"/>
        </w:rPr>
        <w:t>3</w:t>
      </w:r>
      <w:r>
        <w:rPr>
          <w:rFonts w:hint="eastAsia" w:ascii="仿宋_GB2312" w:eastAsia="仿宋_GB2312"/>
          <w:sz w:val="28"/>
          <w:szCs w:val="28"/>
        </w:rPr>
        <w:t>高速POC型高炉煤气柜</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30万m</w:t>
      </w:r>
      <w:r>
        <w:rPr>
          <w:rFonts w:hint="eastAsia" w:ascii="仿宋_GB2312" w:eastAsia="仿宋_GB2312"/>
          <w:sz w:val="28"/>
          <w:szCs w:val="28"/>
          <w:vertAlign w:val="superscript"/>
        </w:rPr>
        <w:t>3</w:t>
      </w:r>
      <w:r>
        <w:rPr>
          <w:rFonts w:hint="eastAsia" w:ascii="仿宋_GB2312" w:eastAsia="仿宋_GB2312"/>
          <w:sz w:val="28"/>
          <w:szCs w:val="28"/>
        </w:rPr>
        <w:t>高速POC型高炉煤气柜于调试完成，实现以下运行技术指标：</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1）活塞运行速度：设计≥4000mm/min，实际最大运行速度4430 mm/min；</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2）活塞运行水平倾斜度：设计≤D/1000=65mm（D为柜体直径），实际≤55mm；</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3）活塞运行水平旋转量：设计≤3mm，实际运行0～3mm；</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4）单座油泵站昼夜启动次数：设计≤20次/昼夜，实际参数11次/昼夜；</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5）活塞压力波动：设计≤150Pa，实际运行≤100Pa；</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6）柜体储气压力：设计最大15kPa，运行参数9.0 kPa；</w:t>
      </w:r>
    </w:p>
    <w:p>
      <w:pPr>
        <w:adjustRightInd w:val="0"/>
        <w:snapToGrid w:val="0"/>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7）柜体型心偏移：设计参数≤70mm，实际≤35mm</w:t>
      </w:r>
    </w:p>
    <w:p>
      <w:pPr>
        <w:pStyle w:val="7"/>
        <w:adjustRightInd w:val="0"/>
        <w:snapToGrid w:val="0"/>
        <w:spacing w:line="360" w:lineRule="auto"/>
        <w:ind w:firstLine="562" w:firstLineChars="200"/>
        <w:rPr>
          <w:rFonts w:ascii="仿宋_GB2312" w:eastAsia="仿宋_GB2312"/>
          <w:b/>
          <w:sz w:val="28"/>
          <w:szCs w:val="28"/>
        </w:rPr>
      </w:pPr>
      <w:r>
        <w:rPr>
          <w:rFonts w:hint="eastAsia" w:ascii="仿宋_GB2312" w:eastAsia="仿宋_GB2312"/>
          <w:b/>
          <w:sz w:val="28"/>
          <w:szCs w:val="28"/>
        </w:rPr>
        <w:t>3</w:t>
      </w:r>
      <w:bookmarkEnd w:id="3"/>
      <w:bookmarkEnd w:id="4"/>
      <w:r>
        <w:rPr>
          <w:rFonts w:hint="eastAsia" w:ascii="仿宋_GB2312" w:eastAsia="仿宋_GB2312"/>
          <w:b/>
          <w:sz w:val="28"/>
          <w:szCs w:val="28"/>
        </w:rPr>
        <w:t>.技术创造性及先进性</w:t>
      </w:r>
    </w:p>
    <w:p>
      <w:pPr>
        <w:pStyle w:val="7"/>
        <w:adjustRightInd w:val="0"/>
        <w:snapToGrid w:val="0"/>
        <w:spacing w:line="360" w:lineRule="auto"/>
        <w:ind w:firstLine="560" w:firstLineChars="200"/>
        <w:rPr>
          <w:rFonts w:ascii="仿宋_GB2312" w:eastAsia="仿宋_GB2312"/>
          <w:sz w:val="28"/>
          <w:szCs w:val="28"/>
        </w:rPr>
      </w:pPr>
      <w:bookmarkStart w:id="5" w:name="_Toc438109524"/>
      <w:bookmarkStart w:id="6" w:name="_Toc438116264"/>
      <w:r>
        <w:rPr>
          <w:rFonts w:hint="eastAsia" w:ascii="仿宋_GB2312" w:eastAsia="仿宋_GB2312"/>
          <w:sz w:val="28"/>
          <w:szCs w:val="28"/>
        </w:rPr>
        <w:t>3.1  在已有低速POC煤气柜制造安装技术基础上进行创新，实现了30万m</w:t>
      </w:r>
      <w:r>
        <w:rPr>
          <w:rFonts w:hint="eastAsia" w:ascii="仿宋_GB2312" w:eastAsia="仿宋_GB2312"/>
          <w:sz w:val="28"/>
          <w:szCs w:val="28"/>
          <w:vertAlign w:val="superscript"/>
        </w:rPr>
        <w:t>3</w:t>
      </w:r>
      <w:r>
        <w:rPr>
          <w:rFonts w:hint="eastAsia" w:ascii="仿宋_GB2312" w:eastAsia="仿宋_GB2312"/>
          <w:sz w:val="28"/>
          <w:szCs w:val="28"/>
        </w:rPr>
        <w:t>POC型煤气柜活塞运行速度达到4000mm/min。</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3.2 建立焊接收缩变形模型，模拟了高速POC型煤气柜的活塞在立柱、侧板、回廊安装焊接产生的不同程度的变形影响下的高速运行状态。</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3.3 研发了焊接新工艺，柜体侧板安装焊接变形控制在+5 ～-8mm。</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3.4 研发了侧板、立柱加工制造新工艺， 32根立柱共计70912个螺栓孔无一错位（孔距误差不大于0.75mm）。</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3.5 研发了立柱安装新工艺，立柱（总高度107m）垂直度偏差不超过6mm。</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3.6 首次采用活塞应力消除技术，有效减少了活塞运行工况下的残余应力。</w:t>
      </w:r>
    </w:p>
    <w:bookmarkEnd w:id="5"/>
    <w:bookmarkEnd w:id="6"/>
    <w:p>
      <w:pPr>
        <w:pStyle w:val="7"/>
        <w:adjustRightInd w:val="0"/>
        <w:snapToGrid w:val="0"/>
        <w:spacing w:line="360" w:lineRule="auto"/>
        <w:ind w:firstLine="551" w:firstLineChars="196"/>
        <w:rPr>
          <w:rFonts w:ascii="仿宋_GB2312" w:eastAsia="仿宋_GB2312"/>
          <w:sz w:val="28"/>
          <w:szCs w:val="28"/>
        </w:rPr>
      </w:pPr>
      <w:r>
        <w:rPr>
          <w:rStyle w:val="10"/>
          <w:rFonts w:hint="eastAsia" w:ascii="仿宋_GB2312" w:eastAsia="仿宋_GB2312"/>
          <w:sz w:val="28"/>
          <w:szCs w:val="28"/>
        </w:rPr>
        <w:t>三、推广应用的情况</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高速POC型干式煤气柜制作安装技术由公司2011年开始共同研制开发。该技术于2014年中标宝钢15万m</w:t>
      </w:r>
      <w:r>
        <w:rPr>
          <w:rFonts w:hint="eastAsia" w:ascii="仿宋_GB2312" w:eastAsia="仿宋_GB2312"/>
          <w:sz w:val="28"/>
          <w:szCs w:val="28"/>
          <w:vertAlign w:val="superscript"/>
        </w:rPr>
        <w:t>3</w:t>
      </w:r>
      <w:r>
        <w:rPr>
          <w:rFonts w:hint="eastAsia" w:ascii="仿宋_GB2312" w:eastAsia="仿宋_GB2312"/>
          <w:sz w:val="28"/>
          <w:szCs w:val="28"/>
        </w:rPr>
        <w:t>高速POC型焦炉煤气柜、30万m3高速POC型高炉煤气柜项目开始实施，两项目已投产成功。于2015年6月开始运用至新疆哈密10万m</w:t>
      </w:r>
      <w:r>
        <w:rPr>
          <w:rFonts w:hint="eastAsia" w:ascii="仿宋_GB2312" w:eastAsia="仿宋_GB2312"/>
          <w:sz w:val="28"/>
          <w:szCs w:val="28"/>
          <w:vertAlign w:val="superscript"/>
        </w:rPr>
        <w:t>3</w:t>
      </w:r>
      <w:r>
        <w:rPr>
          <w:rFonts w:hint="eastAsia" w:ascii="仿宋_GB2312" w:eastAsia="仿宋_GB2312"/>
          <w:sz w:val="28"/>
          <w:szCs w:val="28"/>
        </w:rPr>
        <w:t>POC型焦炉煤气柜工程中。该柜目前已经顺利落顶落底，证明该制作安装技术确实可行可靠。该技术拟运用于公司后续煤气柜项目中，如跟踪的新余新钢30万m</w:t>
      </w:r>
      <w:r>
        <w:rPr>
          <w:rFonts w:hint="eastAsia"/>
          <w:sz w:val="28"/>
          <w:szCs w:val="28"/>
        </w:rPr>
        <w:t>³</w:t>
      </w:r>
      <w:r>
        <w:rPr>
          <w:rFonts w:hint="eastAsia" w:ascii="仿宋_GB2312" w:hAnsi="仿宋_GB2312" w:eastAsia="仿宋_GB2312" w:cs="仿宋_GB2312"/>
          <w:sz w:val="28"/>
          <w:szCs w:val="28"/>
        </w:rPr>
        <w:t>煤气柜、柳钢</w:t>
      </w:r>
      <w:r>
        <w:rPr>
          <w:rFonts w:hint="eastAsia" w:ascii="仿宋_GB2312" w:eastAsia="仿宋_GB2312"/>
          <w:sz w:val="28"/>
          <w:szCs w:val="28"/>
        </w:rPr>
        <w:t>30万m</w:t>
      </w:r>
      <w:r>
        <w:rPr>
          <w:rFonts w:hint="eastAsia"/>
          <w:sz w:val="28"/>
          <w:szCs w:val="28"/>
        </w:rPr>
        <w:t>³</w:t>
      </w:r>
      <w:r>
        <w:rPr>
          <w:rFonts w:hint="eastAsia" w:ascii="仿宋_GB2312" w:hAnsi="仿宋_GB2312" w:eastAsia="仿宋_GB2312" w:cs="仿宋_GB2312"/>
          <w:sz w:val="28"/>
          <w:szCs w:val="28"/>
        </w:rPr>
        <w:t>煤气柜等项目中。而就中国钢铁协会、中国化工协会等不完全统计，预计在</w:t>
      </w:r>
      <w:r>
        <w:rPr>
          <w:rFonts w:hint="eastAsia" w:ascii="仿宋_GB2312" w:eastAsia="仿宋_GB2312"/>
          <w:sz w:val="28"/>
          <w:szCs w:val="28"/>
        </w:rPr>
        <w:t>2020年前，工业企业节能减排、余热回收利用领域将回收数十亿立方米的各类煤气，预计需要各类柜容的干式煤气柜数百座，应用前景可观。</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公司项目采用“高速POC型干式煤气柜制作安装技术”施工，可有效缩短工期，节约部分辅助设施钢材，同时节约可节约施工场地，大幅度得降低了工程成本。公司采用该技术制安的煤气柜工程，每座煤气柜能节约50-100万元左右的费用，经济效益显著。采用该技术施工的工程项目未发生任何安全生产事故，施工质量优良，煤气柜运行后活塞运行速度最快，同时增加了煤气柜煤气吞吐量，提高了余热利用效率，为建设单位节约了大量建设资金。获得了建设单位及相关方的高度评价，为公司创造了良好的社会效益。</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本项目自2011年立项以来，已在公司承建的多个项目推广应用，在高速POC型煤气柜的制作安装中更能突显其优势。该技术的研究成果形成了国家级以及省级工法，关键技术成功申报了发明专利、实用新型专利，也形成了相关国家标准，目前正在准备申报行业、省级的科技成果奖，公司也在大力推进该成果进行转化应用，都有助于积极推动成果的应用。</w:t>
      </w:r>
    </w:p>
    <w:p>
      <w:pPr>
        <w:pStyle w:val="7"/>
        <w:spacing w:line="360" w:lineRule="auto"/>
        <w:rPr>
          <w:rFonts w:ascii="仿宋_GB2312" w:eastAsia="仿宋_GB2312"/>
          <w:sz w:val="28"/>
          <w:szCs w:val="28"/>
        </w:rPr>
      </w:pPr>
      <w:r>
        <w:rPr>
          <w:rStyle w:val="10"/>
          <w:rFonts w:hint="eastAsia" w:ascii="仿宋_GB2312" w:eastAsia="仿宋_GB2312"/>
          <w:sz w:val="28"/>
          <w:szCs w:val="28"/>
        </w:rPr>
        <w:t>　　四、候选人对项目的贡献情况</w:t>
      </w:r>
    </w:p>
    <w:p>
      <w:pPr>
        <w:pStyle w:val="7"/>
        <w:spacing w:line="360" w:lineRule="auto"/>
        <w:rPr>
          <w:rFonts w:ascii="仿宋_GB2312" w:eastAsia="仿宋_GB2312"/>
          <w:sz w:val="28"/>
          <w:szCs w:val="28"/>
        </w:rPr>
      </w:pPr>
      <w:r>
        <w:rPr>
          <w:rFonts w:hint="eastAsia" w:ascii="仿宋_GB2312" w:eastAsia="仿宋_GB2312"/>
          <w:sz w:val="28"/>
          <w:szCs w:val="28"/>
        </w:rPr>
        <w:t>　　第一候选人华志宇：项目负责人，参与整个科研项目的全过程，负责项目总体策划、项目实施、项目验收，保证该项目各阶段按目标任务要求顺利实施，对本项目的全面实施做出巨大贡献。候选人是“焊接变形模型”、“控制焊接变形工艺”、“立柱、侧板制造新工艺”、“立柱安装新工艺”、“活塞应力消除工艺”等创新工艺的主要研发人，是各项专利的发明人，授权发明专利1项，实用新型专利6项。在该项工作中投入的工作量占本人同期工作总量的80％。</w:t>
      </w:r>
    </w:p>
    <w:p>
      <w:pPr>
        <w:pStyle w:val="7"/>
        <w:spacing w:line="360" w:lineRule="auto"/>
        <w:rPr>
          <w:rFonts w:ascii="仿宋_GB2312" w:eastAsia="仿宋_GB2312"/>
          <w:sz w:val="28"/>
          <w:szCs w:val="28"/>
        </w:rPr>
      </w:pPr>
      <w:r>
        <w:rPr>
          <w:rFonts w:hint="eastAsia" w:ascii="仿宋_GB2312" w:eastAsia="仿宋_GB2312"/>
          <w:sz w:val="28"/>
          <w:szCs w:val="28"/>
        </w:rPr>
        <w:t>　　第二候选人王伟：项目全面协调，参与整个科研项目的全过程，负责项目总体策划、项目实施、项目验收的全方面协调工作，保证该项目各阶段按目标任务要求顺利实施，对本项目的全面实施做出巨大贡献。候选人参与“焊接变形模型”、“控制焊接变形工艺”、“立柱、侧板制造新工艺”、“立柱安装新工艺”、“活塞应力消除工艺”等创新工艺的研发，是主要完成人。在该项工作中投入的工作量占本人同期工作总量的60％。</w:t>
      </w:r>
    </w:p>
    <w:p>
      <w:pPr>
        <w:pStyle w:val="7"/>
        <w:spacing w:line="360" w:lineRule="auto"/>
        <w:ind w:firstLine="480"/>
        <w:rPr>
          <w:rFonts w:ascii="仿宋_GB2312" w:eastAsia="仿宋_GB2312"/>
          <w:sz w:val="28"/>
          <w:szCs w:val="28"/>
        </w:rPr>
      </w:pPr>
      <w:r>
        <w:rPr>
          <w:rFonts w:hint="eastAsia" w:ascii="仿宋_GB2312" w:eastAsia="仿宋_GB2312"/>
          <w:sz w:val="28"/>
          <w:szCs w:val="28"/>
        </w:rPr>
        <w:t>第三候选人沈家文：项目技术指导，参与了整个科研项目的全过程，负责项目总体策划、项目实施、项目验收等工作，对本项目的全面实施做出了巨大贡献。候选人参与“焊接变形模型”、“控制焊接变形工艺”、“立柱、侧板制造新工艺”、“立柱安装新工艺”、“活塞应力消除工艺”等创新工艺的研发，是主要完成人。在该项工作中投入的工作量占本人同期工作总量的60％。</w:t>
      </w:r>
    </w:p>
    <w:p>
      <w:pPr>
        <w:pStyle w:val="7"/>
        <w:spacing w:line="360" w:lineRule="auto"/>
        <w:ind w:firstLine="480"/>
        <w:rPr>
          <w:rFonts w:ascii="仿宋_GB2312" w:eastAsia="仿宋_GB2312"/>
          <w:sz w:val="28"/>
          <w:szCs w:val="28"/>
        </w:rPr>
      </w:pPr>
      <w:r>
        <w:rPr>
          <w:rFonts w:hint="eastAsia" w:ascii="仿宋_GB2312" w:eastAsia="仿宋_GB2312"/>
          <w:sz w:val="28"/>
          <w:szCs w:val="28"/>
        </w:rPr>
        <w:t>第四候选人李文：项目技术指导，参与了整个科研项目的全过程，负责项目总体策划、项目实施、项目验收等工作，对本项目的全面实施做出了巨大贡献。候选人参与“焊接变形模型”、“控制焊接变形工艺”、“立柱、侧板制造新工艺”、“立柱安装新工艺”、“活塞应力消除工艺”等创新工艺的研发，是主要完成人。在该项工作中投入的工作量占本人同期工作总量的60％。</w:t>
      </w:r>
    </w:p>
    <w:p>
      <w:pPr>
        <w:pStyle w:val="7"/>
        <w:spacing w:line="360" w:lineRule="auto"/>
        <w:rPr>
          <w:rFonts w:ascii="仿宋_GB2312" w:eastAsia="仿宋_GB2312"/>
          <w:sz w:val="28"/>
          <w:szCs w:val="28"/>
        </w:rPr>
      </w:pPr>
      <w:r>
        <w:rPr>
          <w:rFonts w:hint="eastAsia" w:ascii="仿宋_GB2312" w:eastAsia="仿宋_GB2312"/>
          <w:sz w:val="28"/>
          <w:szCs w:val="28"/>
        </w:rPr>
        <w:t>第五候选人曹云祥：项目总体技术负责人，参与了整个科研项目的全过程，负责项目总体策划、项目实施、项目验收等工作，项目技术方案的审核，负责解决技术难题，对项目中发现的技术难题组织论证，在该项目设计及施工过程中形成了多项专利，对现场施工技术管理进行指导和监督检查，对本项目的全面实施做出了巨大贡献。候选人是“焊接变形模型”、“控制焊接变形工艺”、“立柱、侧板制造新工艺”、“立柱安装新工艺”、“活塞应力消除工艺”等创新工艺的主要研发人，是各项专利的发明人，授权发明专利1项，实用新型专利6项。在该项工作中投入的工作量占本人同期工作总量的70％。</w:t>
      </w:r>
    </w:p>
    <w:p>
      <w:pPr>
        <w:pStyle w:val="7"/>
        <w:spacing w:line="360" w:lineRule="auto"/>
        <w:ind w:firstLine="480"/>
        <w:rPr>
          <w:rFonts w:ascii="仿宋_GB2312" w:eastAsia="仿宋_GB2312"/>
          <w:sz w:val="28"/>
          <w:szCs w:val="28"/>
        </w:rPr>
      </w:pPr>
      <w:r>
        <w:rPr>
          <w:rFonts w:hint="eastAsia" w:ascii="仿宋_GB2312" w:eastAsia="仿宋_GB2312"/>
          <w:sz w:val="28"/>
          <w:szCs w:val="28"/>
        </w:rPr>
        <w:t>　　第六候选人谢应聪：项目技术指导，参与了整个科研项目的全过程，负责项目策划、实施、验收等具体工作，负责解决项目出现的各种难题，对本项目的全面实施做出了巨大贡献，候选人参与“焊接变形模型”、“控制焊接变形工艺”、“立柱、侧板制造新工艺”、“立柱安装新工艺”、“活塞应力消除工艺”等创新工艺的研发，是主要完成人。在该项工作中投入的工作量占本人同期工作总量的60％。</w:t>
      </w:r>
    </w:p>
    <w:p>
      <w:pPr>
        <w:pStyle w:val="7"/>
        <w:spacing w:line="360" w:lineRule="auto"/>
        <w:ind w:firstLine="480"/>
        <w:rPr>
          <w:rFonts w:ascii="仿宋_GB2312" w:eastAsia="仿宋_GB2312"/>
          <w:sz w:val="28"/>
          <w:szCs w:val="28"/>
        </w:rPr>
      </w:pPr>
      <w:r>
        <w:rPr>
          <w:rFonts w:hint="eastAsia" w:ascii="仿宋_GB2312" w:eastAsia="仿宋_GB2312"/>
          <w:sz w:val="28"/>
          <w:szCs w:val="28"/>
        </w:rPr>
        <w:t>　　第七候选人张正东：项目现场总负责人，参与了整个科研项目的全过程，组织协调各参与人员的工作，负责项目现场现场施工组织管理，并对现场施工质量管理、技术管理进行指导和监督检查，对本项目的全面实施做出了巨大贡献。候选人参与“焊接变形模型”、“控制焊接变形工艺”、“立柱、侧板制造新工艺”、“立柱安装新工艺”、“活塞应力消除工艺”等创新工艺的研发，是主要完成人。获得实用新型专利授权2项。在该项工作中投入的工作量占本人同期工作总量的90％。</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第八候选人高龙：现场技术负责人，负责解决项目现场技术难题，组织技术方案设计，协调各参与人员的工作，对现场施工质量管理、技术管理进行指导和监督检查，对本项目的全面实施做出了巨大贡献，候选人参与“立柱安装新工艺”、“活塞应力消除工艺”等创新工艺的研发，是主要完成人。在该项工作中投入的工作量占本人同期工作总量的70％。</w:t>
      </w:r>
    </w:p>
    <w:p>
      <w:pPr>
        <w:pStyle w:val="7"/>
        <w:spacing w:line="360" w:lineRule="auto"/>
        <w:ind w:firstLine="140" w:firstLineChars="50"/>
        <w:rPr>
          <w:rFonts w:ascii="仿宋_GB2312" w:eastAsia="仿宋_GB2312"/>
          <w:sz w:val="28"/>
          <w:szCs w:val="28"/>
        </w:rPr>
      </w:pPr>
      <w:r>
        <w:rPr>
          <w:rFonts w:hint="eastAsia" w:ascii="仿宋_GB2312" w:eastAsia="仿宋_GB2312"/>
          <w:sz w:val="28"/>
          <w:szCs w:val="28"/>
        </w:rPr>
        <w:t>　 第九候选人刘旭辉：安装调试负责人，负责煤气柜安装调试阶段总体工作，本项目的全面实施做出了巨大贡献，候选人参与“活塞应力消除工艺”等创新工艺的研发，是主要完成人。在该项工作中投入的工作量占本人同期工作总量的70％。</w:t>
      </w:r>
    </w:p>
    <w:p>
      <w:pPr>
        <w:pStyle w:val="7"/>
        <w:spacing w:line="360" w:lineRule="auto"/>
        <w:rPr>
          <w:rFonts w:ascii="仿宋_GB2312" w:eastAsia="仿宋_GB2312"/>
          <w:sz w:val="28"/>
          <w:szCs w:val="28"/>
        </w:rPr>
      </w:pPr>
      <w:r>
        <w:rPr>
          <w:rFonts w:hint="eastAsia" w:ascii="仿宋_GB2312" w:eastAsia="仿宋_GB2312"/>
          <w:sz w:val="28"/>
          <w:szCs w:val="28"/>
        </w:rPr>
        <w:t>　　第十候选人谭宝伟：结构安装负责人，负责煤气柜柜体组装施工阶段的总体工作，对本项目的全面实施做出了巨大贡献。候选人参与“焊接变形模型”、“控制焊接变形工艺”、“立柱、侧板制造新工艺”、“立柱安装新工艺”、“活塞应力消除工艺”等创新工艺的研发，是主要完成人。获得实用新型专利授权2项。在该项工作中投入的工作量占本人同期工作总量的90％。</w:t>
      </w:r>
    </w:p>
    <w:p>
      <w:pPr>
        <w:pStyle w:val="7"/>
        <w:spacing w:line="360" w:lineRule="auto"/>
        <w:rPr>
          <w:rFonts w:ascii="仿宋_GB2312" w:eastAsia="仿宋_GB2312"/>
          <w:sz w:val="28"/>
          <w:szCs w:val="28"/>
        </w:rPr>
      </w:pPr>
      <w:r>
        <w:rPr>
          <w:rFonts w:hint="eastAsia" w:ascii="仿宋_GB2312" w:eastAsia="仿宋_GB2312"/>
          <w:sz w:val="28"/>
          <w:szCs w:val="28"/>
        </w:rPr>
        <w:t>　　第十一候选人张瑜：技术指导，参与项目的调研，协助管理实施，形成多项专利，对本项目的全面实施做出了巨大贡献。候选人参与“控制焊接变形工艺”、“立柱、侧板制造新工艺”、“立柱安装新工艺”、“活塞应力消除工艺”等创新工艺的研发，是主要完成人。获得实用新型专利授权1项。在该项工作中投入的工作量占本人同期工作总量的60％。</w:t>
      </w:r>
    </w:p>
    <w:p>
      <w:pPr>
        <w:pStyle w:val="7"/>
        <w:spacing w:line="360" w:lineRule="auto"/>
        <w:rPr>
          <w:rFonts w:ascii="仿宋_GB2312" w:eastAsia="仿宋_GB2312"/>
          <w:sz w:val="28"/>
          <w:szCs w:val="28"/>
        </w:rPr>
      </w:pPr>
      <w:r>
        <w:rPr>
          <w:rFonts w:hint="eastAsia" w:ascii="仿宋_GB2312" w:eastAsia="仿宋_GB2312"/>
          <w:sz w:val="28"/>
          <w:szCs w:val="28"/>
        </w:rPr>
        <w:t>　　第十二候选人肖飞：项目管理、项目实施，参与项目实施及研究、成果整理，形成多项专利及工法，对本项目的全面实施做出了巨大贡献.候选人参与“焊接变形模型”、“控制焊接变形工艺”、“立柱、侧板制造新工艺”、“立柱安装新工艺”、“活塞应力消除工艺”等创新工艺的研发，是主要完成人。获得实用新型专利授权2项。在该项工作中投入的工作量占本人同期工作总量的60％。</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第十三候选人黄金金：项目管理、成果整理，参与项目全过程研究及实施，负责资料的搜集和整理工作，对本项目的全面实施做出了巨大贡献。候选人参与“立柱、侧板制造新工艺”、“立柱安装新工艺”、“活塞应力消除工艺”等创新工艺的研发，是主要完成人。在该项工作中投入的工作量占本人同期工作总量的60％。</w:t>
      </w:r>
    </w:p>
    <w:p>
      <w:pPr>
        <w:pStyle w:val="7"/>
        <w:spacing w:line="360" w:lineRule="auto"/>
        <w:ind w:firstLine="480"/>
        <w:rPr>
          <w:rFonts w:ascii="仿宋_GB2312" w:eastAsia="仿宋_GB2312"/>
          <w:sz w:val="28"/>
          <w:szCs w:val="28"/>
        </w:rPr>
      </w:pPr>
      <w:r>
        <w:rPr>
          <w:rFonts w:hint="eastAsia" w:ascii="仿宋_GB2312" w:eastAsia="仿宋_GB2312"/>
          <w:sz w:val="28"/>
          <w:szCs w:val="28"/>
        </w:rPr>
        <w:t>第十四候选人陈振峰：焊接指导，参与项目全过程研究及实施，解决项目研究实施过程中焊接技术方面的难题，组织相关技术方案的编制，对现场焊接施工质量管理、技术管理进行指导和监督检查，对本项目的全面实施做出了巨大贡献。候选人参与“焊接变形模型”、“控制焊接变形工艺”、“立柱、侧板制造新工艺”、“立柱安装新工艺”、“活塞应力消除工艺”等创新工艺的研发，是主要完成人。在该项工作中投入的工作量占本人同期工作总量的90％。</w:t>
      </w:r>
    </w:p>
    <w:p>
      <w:pPr>
        <w:pStyle w:val="7"/>
        <w:spacing w:line="360" w:lineRule="auto"/>
        <w:ind w:firstLine="480"/>
        <w:rPr>
          <w:rFonts w:ascii="仿宋_GB2312" w:eastAsia="仿宋_GB2312"/>
          <w:sz w:val="28"/>
          <w:szCs w:val="28"/>
        </w:rPr>
      </w:pPr>
      <w:r>
        <w:rPr>
          <w:rFonts w:hint="eastAsia" w:ascii="仿宋_GB2312" w:eastAsia="仿宋_GB2312"/>
          <w:sz w:val="28"/>
          <w:szCs w:val="28"/>
        </w:rPr>
        <w:t>第十五候选人左国祥：工艺管道技术人员，参与项目全过程研究及实施解决项目研究实施过程中焊接技术方面的难题，组织相关技术方案的编制，对现场工艺管道施工质量管理、技术管理进行指导和监督检查，对本项目的全面实施做出了巨大贡献。候选人参与“活塞应力消除工艺”等创新工艺的研发，是主要完成人。在该项工作中投入的工作量占本人同期工作总量的90％。</w:t>
      </w:r>
    </w:p>
    <w:p>
      <w:pPr>
        <w:pStyle w:val="7"/>
        <w:adjustRightInd w:val="0"/>
        <w:snapToGrid w:val="0"/>
        <w:spacing w:line="360" w:lineRule="auto"/>
        <w:ind w:firstLine="562" w:firstLineChars="200"/>
        <w:rPr>
          <w:rFonts w:ascii="仿宋_GB2312" w:eastAsia="仿宋_GB2312"/>
          <w:sz w:val="28"/>
          <w:szCs w:val="28"/>
        </w:rPr>
      </w:pPr>
      <w:r>
        <w:rPr>
          <w:rStyle w:val="10"/>
          <w:rFonts w:hint="eastAsia" w:ascii="仿宋_GB2312" w:eastAsia="仿宋_GB2312"/>
          <w:sz w:val="28"/>
          <w:szCs w:val="28"/>
        </w:rPr>
        <w:t>五、候选单位对项目的贡献情况</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第一候选单位云南建投安装股份有限公司：项目主要完成单位，全面负责本项目的研发、实施、技术总结、项目验收和鉴定工作，落实研发经费、人员、设备。负责本项目的技术路线、实施目标的制定，组织协调任务分工，技术研发、试验运行，技术成果总结和申报，选定和落实应用工程推广应用。取得了相应的技术成果、并实现了显著的社会经济效益，对本项目的全面实施做出巨大贡献。</w:t>
      </w:r>
    </w:p>
    <w:p>
      <w:pPr>
        <w:pStyle w:val="7"/>
        <w:adjustRightInd w:val="0"/>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第二候选单位云南省建投投资控股集团有限公司：项目合作单位，是项目计划下达单位，负责项目的立项、审批、实施过程的监管。项目实施过程中提供专家技术支持以及研究成果总结的指导等工作。同时该单位负责协调外部关系，将本项目研究成果向外部进行推广。</w:t>
      </w:r>
    </w:p>
    <w:p>
      <w:pPr>
        <w:pStyle w:val="7"/>
        <w:spacing w:line="360" w:lineRule="auto"/>
        <w:rPr>
          <w:rFonts w:ascii="仿宋_GB2312" w:eastAsia="仿宋_GB2312"/>
          <w:sz w:val="28"/>
          <w:szCs w:val="28"/>
        </w:rPr>
      </w:pPr>
      <w:r>
        <w:rPr>
          <w:rStyle w:val="10"/>
          <w:rFonts w:hint="eastAsia" w:ascii="仿宋_GB2312" w:eastAsia="仿宋_GB2312"/>
          <w:sz w:val="28"/>
          <w:szCs w:val="28"/>
        </w:rPr>
        <w:t>　　六、获得知识产权情况</w:t>
      </w:r>
    </w:p>
    <w:p>
      <w:pPr>
        <w:pStyle w:val="7"/>
        <w:spacing w:line="360" w:lineRule="auto"/>
        <w:rPr>
          <w:rFonts w:ascii="仿宋_GB2312" w:eastAsia="仿宋_GB2312"/>
          <w:sz w:val="28"/>
          <w:szCs w:val="28"/>
        </w:rPr>
      </w:pPr>
      <w:r>
        <w:rPr>
          <w:rFonts w:hint="eastAsia" w:ascii="仿宋_GB2312" w:eastAsia="仿宋_GB2312"/>
          <w:sz w:val="28"/>
          <w:szCs w:val="28"/>
        </w:rPr>
        <w:t>　　项目成果获授权发明专利1项，实用新型专利6项；软件著作权 1项</w:t>
      </w:r>
    </w:p>
    <w:p>
      <w:pPr>
        <w:pStyle w:val="7"/>
        <w:spacing w:line="360" w:lineRule="auto"/>
        <w:rPr>
          <w:rFonts w:ascii="仿宋_GB2312" w:eastAsia="仿宋_GB2312"/>
          <w:b/>
          <w:sz w:val="28"/>
          <w:szCs w:val="28"/>
        </w:rPr>
      </w:pPr>
      <w:r>
        <w:rPr>
          <w:rFonts w:hint="eastAsia" w:ascii="仿宋_GB2312" w:eastAsia="仿宋_GB2312"/>
          <w:sz w:val="28"/>
          <w:szCs w:val="28"/>
        </w:rPr>
        <w:t>　</w:t>
      </w:r>
      <w:r>
        <w:rPr>
          <w:rFonts w:hint="eastAsia" w:ascii="仿宋_GB2312" w:eastAsia="仿宋_GB2312"/>
          <w:b/>
          <w:sz w:val="28"/>
          <w:szCs w:val="28"/>
        </w:rPr>
        <w:t>　1. 申请并授权专利</w:t>
      </w:r>
    </w:p>
    <w:p>
      <w:pPr>
        <w:pStyle w:val="7"/>
        <w:spacing w:line="360" w:lineRule="auto"/>
        <w:rPr>
          <w:rFonts w:ascii="仿宋_GB2312" w:eastAsia="仿宋_GB2312"/>
          <w:sz w:val="28"/>
          <w:szCs w:val="28"/>
        </w:rPr>
      </w:pPr>
      <w:r>
        <w:rPr>
          <w:rFonts w:hint="eastAsia" w:ascii="仿宋_GB2312" w:eastAsia="仿宋_GB2312"/>
          <w:sz w:val="28"/>
          <w:szCs w:val="28"/>
        </w:rPr>
        <w:t>　　1）发明专利，胥能、唐晓云、华志宇等，《煤气柜侧板及立柱安装吊装装置》，专利号：ZL 201310178746.7；</w:t>
      </w:r>
    </w:p>
    <w:p>
      <w:pPr>
        <w:pStyle w:val="7"/>
        <w:spacing w:line="360" w:lineRule="auto"/>
        <w:rPr>
          <w:rFonts w:ascii="仿宋_GB2312" w:eastAsia="仿宋_GB2312"/>
          <w:sz w:val="28"/>
          <w:szCs w:val="28"/>
        </w:rPr>
      </w:pPr>
      <w:r>
        <w:rPr>
          <w:rFonts w:hint="eastAsia" w:ascii="仿宋_GB2312" w:eastAsia="仿宋_GB2312"/>
          <w:sz w:val="28"/>
          <w:szCs w:val="28"/>
        </w:rPr>
        <w:t>　　2）实用新型专利，胥能、唐晓云等，《煤气柜侧板组装胎膜具》，专利号：ZL201120122488.7；</w:t>
      </w:r>
    </w:p>
    <w:p>
      <w:pPr>
        <w:pStyle w:val="7"/>
        <w:spacing w:line="360" w:lineRule="auto"/>
        <w:rPr>
          <w:rFonts w:ascii="仿宋_GB2312" w:eastAsia="仿宋_GB2312"/>
          <w:sz w:val="28"/>
          <w:szCs w:val="28"/>
        </w:rPr>
      </w:pPr>
      <w:r>
        <w:rPr>
          <w:rFonts w:hint="eastAsia" w:ascii="仿宋_GB2312" w:eastAsia="仿宋_GB2312"/>
          <w:sz w:val="28"/>
          <w:szCs w:val="28"/>
        </w:rPr>
        <w:t>　　3）实用新型专利，胥能、唐晓云、华志宇等，《煤气柜安装专用可浮升及翻转式外部脚手架工专装置》，专利号：ZL201420259415.6；</w:t>
      </w:r>
    </w:p>
    <w:p>
      <w:pPr>
        <w:pStyle w:val="7"/>
        <w:spacing w:line="360" w:lineRule="auto"/>
        <w:rPr>
          <w:rFonts w:ascii="仿宋_GB2312" w:eastAsia="仿宋_GB2312"/>
          <w:sz w:val="28"/>
          <w:szCs w:val="28"/>
        </w:rPr>
      </w:pPr>
      <w:r>
        <w:rPr>
          <w:rFonts w:hint="eastAsia" w:ascii="仿宋_GB2312" w:eastAsia="仿宋_GB2312"/>
          <w:sz w:val="28"/>
          <w:szCs w:val="28"/>
        </w:rPr>
        <w:t>　　4）实用新型专利，胥能 、华志宇、邓声嵩、肖飞、胡冰等，《升柜用工装导轮》，专利号：ZL201620885972.8；</w:t>
      </w:r>
    </w:p>
    <w:p>
      <w:pPr>
        <w:pStyle w:val="7"/>
        <w:spacing w:line="360" w:lineRule="auto"/>
        <w:rPr>
          <w:rFonts w:ascii="仿宋_GB2312" w:eastAsia="仿宋_GB2312"/>
          <w:sz w:val="28"/>
          <w:szCs w:val="28"/>
        </w:rPr>
      </w:pPr>
      <w:r>
        <w:rPr>
          <w:rFonts w:hint="eastAsia" w:ascii="仿宋_GB2312" w:eastAsia="仿宋_GB2312"/>
          <w:sz w:val="28"/>
          <w:szCs w:val="28"/>
        </w:rPr>
        <w:t>　　5）实用新型专利，胥能 、肖飞、华志宇、邓声嵩、张瑜等，《H型钢立柱接柱模具》，专利号：ZL201620885996.3；</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6) 实用新型专利，胥能 、肖飞、华志宇、邓声嵩、张瑜等，《煤气柜活塞悬挂装置》，专利号：ZL201620886260.8；</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7）实用新型专利，张正东、谭宝伟、谢应聪、邓声嵩、曹云祥等，《侧板安装预拱装置》，专利号：ZL201620885969.6。</w:t>
      </w:r>
    </w:p>
    <w:p>
      <w:pPr>
        <w:pStyle w:val="7"/>
        <w:spacing w:line="360" w:lineRule="auto"/>
        <w:rPr>
          <w:rFonts w:ascii="仿宋_GB2312" w:eastAsia="仿宋_GB2312"/>
          <w:b/>
          <w:sz w:val="28"/>
          <w:szCs w:val="28"/>
        </w:rPr>
      </w:pPr>
      <w:r>
        <w:rPr>
          <w:rFonts w:hint="eastAsia" w:ascii="仿宋_GB2312" w:eastAsia="仿宋_GB2312"/>
          <w:b/>
          <w:sz w:val="28"/>
          <w:szCs w:val="28"/>
        </w:rPr>
        <w:t>　　2.获得软件著作权</w:t>
      </w:r>
    </w:p>
    <w:p>
      <w:pPr>
        <w:pStyle w:val="7"/>
        <w:spacing w:line="360" w:lineRule="auto"/>
        <w:ind w:firstLine="420" w:firstLineChars="150"/>
        <w:rPr>
          <w:rFonts w:ascii="仿宋_GB2312" w:eastAsia="仿宋_GB2312"/>
          <w:sz w:val="28"/>
          <w:szCs w:val="28"/>
        </w:rPr>
      </w:pPr>
      <w:r>
        <w:rPr>
          <w:rFonts w:hint="eastAsia" w:ascii="仿宋_GB2312" w:eastAsia="仿宋_GB2312"/>
          <w:sz w:val="28"/>
          <w:szCs w:val="28"/>
        </w:rPr>
        <w:t>张静等，《煤气柜水封自动控制系统V1.0》，登记号：2012SR070859。</w:t>
      </w:r>
    </w:p>
    <w:p>
      <w:pPr>
        <w:snapToGrid w:val="0"/>
        <w:spacing w:before="62" w:beforeLines="20" w:line="360" w:lineRule="auto"/>
        <w:ind w:firstLine="562" w:firstLineChars="200"/>
        <w:rPr>
          <w:rFonts w:ascii="仿宋_GB2312" w:hAnsi="宋体" w:eastAsia="仿宋_GB2312"/>
          <w:b/>
          <w:kern w:val="0"/>
          <w:sz w:val="28"/>
          <w:szCs w:val="28"/>
        </w:rPr>
      </w:pPr>
      <w:r>
        <w:rPr>
          <w:rFonts w:hint="eastAsia" w:ascii="仿宋_GB2312" w:hAnsi="宋体" w:eastAsia="仿宋_GB2312"/>
          <w:b/>
          <w:kern w:val="0"/>
          <w:sz w:val="28"/>
          <w:szCs w:val="28"/>
        </w:rPr>
        <w:t>3.形成的标准</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1）国家标准，华志宇等，工业企业干式煤气柜安全技术规范，标准号：GB51066-2014；</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2）行业标准，华志宇、胥能等，橡胶膜密封储气柜工程施工质量验收规程，标准号：CECS 267-2009；</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3）行业标准，胥能等，多边形稀油密封储气柜工程施工质量验收规程，标准号：CECS 186-2005。</w:t>
      </w:r>
    </w:p>
    <w:p>
      <w:pPr>
        <w:snapToGrid w:val="0"/>
        <w:spacing w:before="62" w:beforeLines="20" w:line="360" w:lineRule="auto"/>
        <w:ind w:firstLine="562" w:firstLineChars="200"/>
        <w:rPr>
          <w:rFonts w:ascii="仿宋_GB2312" w:hAnsi="宋体" w:eastAsia="仿宋_GB2312"/>
          <w:b/>
          <w:kern w:val="0"/>
          <w:sz w:val="28"/>
          <w:szCs w:val="28"/>
        </w:rPr>
      </w:pPr>
      <w:r>
        <w:rPr>
          <w:rFonts w:hint="eastAsia" w:ascii="仿宋_GB2312" w:hAnsi="宋体" w:eastAsia="仿宋_GB2312"/>
          <w:b/>
          <w:kern w:val="0"/>
          <w:sz w:val="28"/>
          <w:szCs w:val="28"/>
        </w:rPr>
        <w:t>4.发表的论文</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1）华志宇等，《干式新型煤气柜的调试要点》，《安装》2006年第6期；</w:t>
      </w:r>
    </w:p>
    <w:p>
      <w:pPr>
        <w:spacing w:line="360" w:lineRule="auto"/>
        <w:ind w:firstLine="560" w:firstLineChars="200"/>
        <w:jc w:val="left"/>
        <w:rPr>
          <w:rFonts w:ascii="仿宋_GB2312" w:hAnsi="宋体" w:eastAsia="仿宋_GB2312"/>
          <w:sz w:val="28"/>
          <w:szCs w:val="28"/>
        </w:rPr>
      </w:pPr>
      <w:r>
        <w:rPr>
          <w:rFonts w:hint="eastAsia" w:ascii="仿宋_GB2312" w:hAnsi="宋体" w:eastAsia="仿宋_GB2312"/>
          <w:sz w:val="28"/>
          <w:szCs w:val="28"/>
        </w:rPr>
        <w:t>2）华志宇等，《30万m</w:t>
      </w:r>
      <w:r>
        <w:rPr>
          <w:rFonts w:hint="eastAsia" w:ascii="仿宋_GB2312" w:hAnsi="宋体" w:eastAsia="仿宋_GB2312"/>
          <w:sz w:val="28"/>
          <w:szCs w:val="28"/>
          <w:vertAlign w:val="superscript"/>
        </w:rPr>
        <w:t>3</w:t>
      </w:r>
      <w:r>
        <w:rPr>
          <w:rFonts w:hint="eastAsia" w:ascii="仿宋_GB2312" w:hAnsi="宋体" w:eastAsia="仿宋_GB2312"/>
          <w:sz w:val="28"/>
          <w:szCs w:val="28"/>
        </w:rPr>
        <w:t>POC型煤气柜制作安装CO</w:t>
      </w:r>
      <w:r>
        <w:rPr>
          <w:rFonts w:hint="eastAsia" w:ascii="仿宋_GB2312" w:hAnsi="宋体" w:eastAsia="仿宋_GB2312"/>
          <w:sz w:val="28"/>
          <w:szCs w:val="28"/>
          <w:vertAlign w:val="subscript"/>
        </w:rPr>
        <w:t>2</w:t>
      </w:r>
      <w:r>
        <w:rPr>
          <w:rFonts w:hint="eastAsia" w:ascii="仿宋_GB2312" w:hAnsi="宋体" w:eastAsia="仿宋_GB2312"/>
          <w:sz w:val="28"/>
          <w:szCs w:val="28"/>
        </w:rPr>
        <w:t>气体保护焊的应用要点》，《安装》2008年第12期；</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3）谭红江、吴佳龙、肖国军等，干式煤气柜的制作安装技术研究[J].城市建设理论研究（电子版），2013，(10)；</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4）李建兰、张静、马泽平、晋崇奇等，《煤气柜水封自动控制系统研究》，《云南建投科技》2016第2期；</w:t>
      </w:r>
    </w:p>
    <w:p>
      <w:pPr>
        <w:spacing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5）李建兰、张静、晋崇奇、巫永红、马泽平等，《</w:t>
      </w:r>
      <w:r>
        <w:rPr>
          <w:rFonts w:hint="eastAsia" w:ascii="仿宋_GB2312" w:hAnsi="宋体" w:eastAsia="仿宋_GB2312" w:cs="宋体"/>
          <w:kern w:val="0"/>
          <w:sz w:val="28"/>
          <w:szCs w:val="28"/>
        </w:rPr>
        <w:t>煤气柜水封自动控制系统设计及应用》，《安装》2016年第12期。</w:t>
      </w:r>
    </w:p>
    <w:p>
      <w:pPr>
        <w:pStyle w:val="7"/>
        <w:rPr>
          <w:rFonts w:ascii="仿宋_GB2312" w:eastAsia="仿宋_GB2312"/>
          <w:sz w:val="28"/>
          <w:szCs w:val="28"/>
        </w:rPr>
      </w:pPr>
      <w:r>
        <w:rPr>
          <w:rStyle w:val="10"/>
          <w:rFonts w:hint="eastAsia" w:ascii="仿宋_GB2312" w:eastAsia="仿宋_GB2312"/>
          <w:sz w:val="28"/>
          <w:szCs w:val="28"/>
        </w:rPr>
        <w:t>　　七、曾获奖情况</w:t>
      </w:r>
    </w:p>
    <w:p>
      <w:pPr>
        <w:pStyle w:val="7"/>
        <w:spacing w:line="360" w:lineRule="auto"/>
        <w:ind w:firstLine="562" w:firstLineChars="200"/>
        <w:rPr>
          <w:rFonts w:ascii="仿宋_GB2312" w:eastAsia="仿宋_GB2312"/>
          <w:b/>
          <w:sz w:val="28"/>
          <w:szCs w:val="28"/>
        </w:rPr>
      </w:pPr>
      <w:r>
        <w:rPr>
          <w:rFonts w:hint="eastAsia" w:ascii="仿宋_GB2312" w:eastAsia="仿宋_GB2312"/>
          <w:b/>
          <w:sz w:val="28"/>
          <w:szCs w:val="28"/>
        </w:rPr>
        <w:t>1.施工工法</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1）国家二级工法，华志宇、吕利民、龚奇均、肖飞、张健，《30万m</w:t>
      </w:r>
      <w:r>
        <w:rPr>
          <w:rFonts w:hint="eastAsia" w:ascii="宋体" w:hAnsi="宋体" w:eastAsia="宋体" w:cs="宋体"/>
          <w:sz w:val="28"/>
          <w:szCs w:val="28"/>
        </w:rPr>
        <w:t>³</w:t>
      </w:r>
      <w:r>
        <w:rPr>
          <w:rFonts w:hint="eastAsia" w:ascii="仿宋_GB2312" w:hAnsi="宋体" w:eastAsia="仿宋_GB2312"/>
          <w:sz w:val="28"/>
          <w:szCs w:val="28"/>
        </w:rPr>
        <w:t>POC型干式煤气柜安装工法》，工法编号：GJEJGF413-2012；</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2）省级工法，李元泉、华志宇、张小青、王梓鲁、唐明，《威金斯式柜煤气柜制作安装工法》，工法编号：YNGF403(2011)；</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3）省级工法，吴宏伟、胡冰、龚奇均、梁恩、华志宇，《7万m</w:t>
      </w:r>
      <w:r>
        <w:rPr>
          <w:rFonts w:hint="eastAsia" w:ascii="仿宋_GB2312" w:hAnsi="宋体" w:eastAsia="仿宋_GB2312"/>
          <w:sz w:val="28"/>
          <w:szCs w:val="28"/>
          <w:vertAlign w:val="superscript"/>
        </w:rPr>
        <w:t>3</w:t>
      </w:r>
      <w:r>
        <w:rPr>
          <w:rFonts w:hint="eastAsia" w:ascii="仿宋_GB2312" w:hAnsi="宋体" w:eastAsia="仿宋_GB2312"/>
          <w:sz w:val="28"/>
          <w:szCs w:val="28"/>
        </w:rPr>
        <w:t>曼型干式煤气柜安装调试工法》，工法编号：YNGF480(2012)；</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4）省级工法，肖飞、管红学、胥能、张瑜、曹云祥，《大型POC新型煤气柜侧板及立柱吊装工法》，工法编号：YNGF606（2014）；</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5）省级工法，华志宇、张会良、张正东、高龙、谭宝伟，《POC型干式煤气柜电梯圆形井道制作工法》，工法编号：YNSJZGF-2015-22；</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6）省级工法，华志宇、张会良、张正东、高龙、谢应聪《高速POC型干式煤气柜密封机构安装工法》，工法编号：YNSJZGF-2015-23。</w:t>
      </w:r>
    </w:p>
    <w:p>
      <w:pPr>
        <w:pStyle w:val="7"/>
        <w:spacing w:line="360" w:lineRule="auto"/>
        <w:ind w:firstLine="562" w:firstLineChars="200"/>
        <w:rPr>
          <w:rFonts w:ascii="仿宋_GB2312" w:eastAsia="仿宋_GB2312"/>
          <w:b/>
          <w:sz w:val="28"/>
          <w:szCs w:val="28"/>
        </w:rPr>
      </w:pPr>
      <w:r>
        <w:rPr>
          <w:rFonts w:hint="eastAsia" w:ascii="仿宋_GB2312" w:eastAsia="仿宋_GB2312"/>
          <w:b/>
          <w:sz w:val="28"/>
          <w:szCs w:val="28"/>
        </w:rPr>
        <w:t>2. 科技进步奖</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1）“15万m</w:t>
      </w:r>
      <w:r>
        <w:rPr>
          <w:rFonts w:hint="eastAsia" w:ascii="仿宋_GB2312" w:hAnsi="宋体" w:eastAsia="仿宋_GB2312"/>
          <w:sz w:val="28"/>
          <w:szCs w:val="28"/>
          <w:vertAlign w:val="superscript"/>
        </w:rPr>
        <w:t>3</w:t>
      </w:r>
      <w:r>
        <w:rPr>
          <w:rFonts w:hint="eastAsia" w:ascii="仿宋_GB2312" w:hAnsi="宋体" w:eastAsia="仿宋_GB2312"/>
          <w:sz w:val="28"/>
          <w:szCs w:val="28"/>
        </w:rPr>
        <w:t>新型干式煤气柜制安技术”被中国安装协会认定为2004年度“中国安装之星”；</w:t>
      </w:r>
    </w:p>
    <w:p>
      <w:pPr>
        <w:snapToGrid w:val="0"/>
        <w:spacing w:before="62" w:beforeLines="20" w:line="360" w:lineRule="auto"/>
        <w:ind w:firstLine="560" w:firstLineChars="200"/>
        <w:rPr>
          <w:rFonts w:ascii="仿宋_GB2312" w:hAnsi="宋体" w:eastAsia="仿宋_GB2312"/>
          <w:sz w:val="28"/>
          <w:szCs w:val="28"/>
        </w:rPr>
      </w:pPr>
      <w:r>
        <w:rPr>
          <w:rFonts w:hint="eastAsia" w:ascii="仿宋_GB2312" w:hAnsi="宋体" w:eastAsia="仿宋_GB2312"/>
          <w:sz w:val="28"/>
          <w:szCs w:val="28"/>
        </w:rPr>
        <w:t>2）“30万立方米POC干式煤气柜安装技术”荣获2006年度中国安装协会第八届科技成果一等奖及2006年度“中国安装之星”；</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3）“30万m</w:t>
      </w:r>
      <w:r>
        <w:rPr>
          <w:rFonts w:hint="eastAsia" w:ascii="仿宋_GB2312" w:eastAsia="仿宋_GB2312"/>
          <w:sz w:val="28"/>
          <w:szCs w:val="28"/>
          <w:vertAlign w:val="superscript"/>
        </w:rPr>
        <w:t>3</w:t>
      </w:r>
      <w:r>
        <w:rPr>
          <w:rFonts w:hint="eastAsia" w:ascii="仿宋_GB2312" w:eastAsia="仿宋_GB2312"/>
          <w:sz w:val="28"/>
          <w:szCs w:val="28"/>
        </w:rPr>
        <w:t>干式煤气柜制作安装工艺” 获得云南省2008年度科学技术进步三等奖；</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4）“30万m</w:t>
      </w:r>
      <w:r>
        <w:rPr>
          <w:rFonts w:hint="eastAsia"/>
          <w:sz w:val="28"/>
          <w:szCs w:val="28"/>
        </w:rPr>
        <w:t>³</w:t>
      </w:r>
      <w:r>
        <w:rPr>
          <w:rFonts w:hint="eastAsia" w:ascii="仿宋_GB2312" w:hAnsi="仿宋_GB2312" w:eastAsia="仿宋_GB2312" w:cs="仿宋_GB2312"/>
          <w:sz w:val="28"/>
          <w:szCs w:val="28"/>
        </w:rPr>
        <w:t>高速</w:t>
      </w:r>
      <w:r>
        <w:rPr>
          <w:rFonts w:hint="eastAsia" w:ascii="仿宋_GB2312" w:eastAsia="仿宋_GB2312"/>
          <w:sz w:val="28"/>
          <w:szCs w:val="28"/>
        </w:rPr>
        <w:t>POC型干式煤气柜安装工艺”获得云南建工集团有限公司2015年度科技进步成果奖一等奖；</w:t>
      </w:r>
    </w:p>
    <w:p>
      <w:pPr>
        <w:pStyle w:val="7"/>
        <w:spacing w:line="360" w:lineRule="auto"/>
        <w:ind w:firstLine="560" w:firstLineChars="200"/>
        <w:rPr>
          <w:rFonts w:ascii="仿宋_GB2312" w:eastAsia="仿宋_GB2312"/>
          <w:sz w:val="28"/>
          <w:szCs w:val="28"/>
        </w:rPr>
      </w:pPr>
      <w:r>
        <w:rPr>
          <w:rFonts w:hint="eastAsia" w:ascii="仿宋_GB2312" w:eastAsia="仿宋_GB2312"/>
          <w:sz w:val="28"/>
          <w:szCs w:val="28"/>
        </w:rPr>
        <w:t>5）“高速POC型干式煤气柜制作安装技术的研究及应用”获中国建设工程施工技术创新成果奖三等奖，华志宇、谢应聪、张正东、高龙、刘旭辉等。</w:t>
      </w:r>
    </w:p>
    <w:p>
      <w:pPr>
        <w:widowControl/>
        <w:spacing w:line="360" w:lineRule="auto"/>
        <w:ind w:firstLine="560" w:firstLineChars="200"/>
        <w:jc w:val="right"/>
        <w:rPr>
          <w:rFonts w:ascii="仿宋_GB2312" w:hAnsi="Times New Roman" w:eastAsia="仿宋_GB2312" w:cs="Times New Roman"/>
          <w:color w:val="333333"/>
          <w:kern w:val="36"/>
          <w:sz w:val="28"/>
          <w:szCs w:val="28"/>
        </w:rPr>
      </w:pPr>
    </w:p>
    <w:p>
      <w:pPr>
        <w:widowControl/>
        <w:jc w:val="left"/>
        <w:rPr>
          <w:rFonts w:ascii="仿宋_GB2312" w:hAnsi="Times New Roman" w:eastAsia="仿宋_GB2312" w:cs="Times New Roman"/>
          <w:color w:val="333333"/>
          <w:kern w:val="36"/>
          <w:sz w:val="28"/>
          <w:szCs w:val="28"/>
        </w:rPr>
      </w:pPr>
      <w:r>
        <w:rPr>
          <w:rFonts w:hint="eastAsia" w:ascii="仿宋_GB2312" w:hAnsi="Times New Roman" w:eastAsia="仿宋_GB2312" w:cs="Times New Roman"/>
          <w:color w:val="333333"/>
          <w:kern w:val="36"/>
          <w:sz w:val="28"/>
          <w:szCs w:val="28"/>
        </w:rPr>
        <w:br w:type="page"/>
      </w:r>
    </w:p>
    <w:p>
      <w:pPr>
        <w:pStyle w:val="2"/>
        <w:spacing w:before="0" w:after="0" w:line="360" w:lineRule="auto"/>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新型绿色超缓凝混凝土的研发与应用关键技术</w:t>
      </w:r>
    </w:p>
    <w:p>
      <w:pPr>
        <w:widowControl/>
        <w:jc w:val="left"/>
        <w:rPr>
          <w:rFonts w:ascii="仿宋_GB2312" w:hAnsi="Times New Roman" w:eastAsia="仿宋_GB2312" w:cs="Times New Roman"/>
          <w:b/>
          <w:sz w:val="28"/>
          <w:szCs w:val="28"/>
        </w:rPr>
      </w:pPr>
      <w:bookmarkStart w:id="7" w:name="OLE_LINK4"/>
      <w:bookmarkStart w:id="8" w:name="OLE_LINK3"/>
      <w:r>
        <w:rPr>
          <w:rFonts w:hint="eastAsia" w:ascii="仿宋_GB2312" w:hAnsi="Times New Roman" w:eastAsia="仿宋_GB2312" w:cs="Times New Roman"/>
          <w:b/>
          <w:sz w:val="28"/>
          <w:szCs w:val="28"/>
        </w:rPr>
        <w:t>一、项目基本情况</w:t>
      </w:r>
    </w:p>
    <w:bookmarkEnd w:id="7"/>
    <w:bookmarkEnd w:id="8"/>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项目名称：新型绿色超缓凝混凝土的研发与应用关键技术</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科技成果登记号：16420170003</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主要完成人：李章建、刘国强、梁丽敏、李世华、沈家文、马敏超、李 翔、田 帅、林培仁</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主要完成单位：云南建投绿色高性能混凝土有限公司、云南省建设投资控股集团有限公司</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推荐单位：云南省建设投资控股集团有限公司</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二、项目简介</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建筑工程正向超高、超深、超大规模和极端严酷的服役环境中发展，对混凝土技术提出了严峻挑战，主要涉及超深基坑支护、超长超大直径水下桩基、超长超大体积混凝土、高温环境超远距离泵送等特殊工程。超缓凝混凝土是一种为满足特殊施工要求而专门配制的初凝时间不小于20h、终凝时间不大于120h、初终凝时间差不大于20h、28d强度或设计龄期强度不低于设计强度等级的新型绿色混凝土，可以弥补传统混凝土凝结时间上的局限性，实现施工技术多样化，并显著加快施工进度和提高工程质量。超缓凝混凝土技术是突破超高、超深、超大规模工程的关键，特别是复杂恶劣的施工环境。</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项目组自主研发了具有强适应性和缓凝时间可调控的超缓凝高效减水剂，并在国内首次攻克了基于缓凝剂掺量及温度与凝结时间关系方程的超缓凝混凝土凝结时间动态调控关键技术，实测凝结时间与设计凝结时间偏差值小于5%，确保了超缓凝混凝土质量、施工安全及施工进度。开创性的提出了一种基于骨料等比表面积替代原则的超缓凝混凝土凝结时间测试方法，比国家标准对凝结时间的检测方法更方便快捷，且凝结时间测试结果与国家标准方法试验结果偏差小于5%。首次建立了超缓凝混凝土抗压强度与凝结时间的关系，并提出了基于抗压强度比系数和大掺量矿物掺和料的超缓凝混凝土配制技术，较好地解决了超缓凝混凝土超长凝结时间的施工要求与混凝土抗压强度发展要求之间的矛盾。同时结合地方资源特性和施工技术要求，突破了超缓凝混凝土关键原材料与混凝土质量控制关键技术，编制了国内首部针对超缓凝混凝土的配制和应用技术的标准规范《超缓凝混凝土配制及应用技术规程》（DBJ53/T-79-2016）。</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依托该项目，授权发明专利2项，制定地方标准1项，发表技术论文6篇。研究成果首次在昆明地铁3号线超深基坑支护工程推广应用，并进一步在地铁端头加固、超深基坑支护、超大体积混凝土、昆明铁路枢纽等工程中扩大推广应用，取得了显著的社会经济效益。2011年~2013年实现新增销售额2301.92万元。2014年~2016年，累计推广应用超缓凝混凝土38.38万m</w:t>
      </w:r>
      <w:r>
        <w:rPr>
          <w:rFonts w:hint="eastAsia" w:ascii="仿宋_GB2312" w:hAnsi="Times New Roman" w:eastAsia="仿宋_GB2312" w:cs="Times New Roman"/>
          <w:sz w:val="28"/>
          <w:szCs w:val="28"/>
          <w:vertAlign w:val="superscript"/>
        </w:rPr>
        <w:t>3</w:t>
      </w:r>
      <w:r>
        <w:rPr>
          <w:rFonts w:hint="eastAsia" w:ascii="仿宋_GB2312" w:hAnsi="Times New Roman" w:eastAsia="仿宋_GB2312" w:cs="Times New Roman"/>
          <w:sz w:val="28"/>
          <w:szCs w:val="28"/>
        </w:rPr>
        <w:t>，新增销售额1.18亿元，新增利润574万元。</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该研究成果总体上达到了国内领先水平。成果符合国家产业政策、指导性和可操作性强、已形成产业化和实现工程化应用，社会经济效益显著。该成果的推广应用显著促进了我省混凝土行业的绿色、低碳、环保，有效推动了我省混凝土技术进步。</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三、候选人对项目的贡献情况</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第一候选人　李章建：项目负责人，参与了整个科研项目的全过程，负责项目总体策划、进度控制、项目实施、项目验收等工作，保证该项目按任务书进度要求顺利实施。候选人是“超缓凝混凝土的凝结时间动态调控关键技术”、“基于骨料等比表面积替代原则的超缓凝混凝土凝结时间测试技术”、“超缓凝混凝土关键原材料及生产质量控制技术”、“基于抗压强度比系数和大掺量矿物掺合料的超缓凝混凝土配制技术”以及“超缓凝混凝土配制及应用技术规程” 5项技术创新点的主要设计者和贡献者。授权发明专利2项、主编地方标准1项、发表技术论文5篇，对本项目的全面实施做出了巨大贡献。在该项工作中投入的工作量占本人同期工作总量的60％。</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第二候选人　刘国强：合作单位项目负责人，全面负责协调管控超缓凝混凝土的推广应用及标准体系的建设，参与了该项目的总体策划、进度控制、项目实施等工作。候选人是“超缓凝混凝土配制及应用技术规程”1项技术创新点的主要设计者和贡献者，推进了超缓凝混凝土技术成果的转化应用，实现标准体系、经济效益与科技成果三者相结合，主编地方标准1项，对本项目的全面实施做出了巨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第三候选人　梁丽敏：项目技术负责人，参与了整个科研项目的全过程，全面负责项目技术方案策划、验证、实施以及项目验收评价等工作。候选人是“超缓凝混凝土的凝结时间动态调控关键技术”、“基于骨料等比表面积替代原则的超缓凝混凝土凝结时间测试技术”、“超缓凝混凝土配制及应用技术规程”3项技术创新点的主要实施者和贡献者，是“超缓凝混凝土关键原材料及生产质量控制技术”及“具有强适应性和缓凝时间可调控的超缓凝高效减水剂复配技术”2项技术创新点的主要参与者和贡献者。授权发明专利2项、主编地方标准1项、发表技术论文5篇，对本项目的全面实施做出了巨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第四候选人　李世华：项目主要承担人员，参与了整个科研项目的全过程，主要负责该项目的试验研究、数据分析、技术资料的撰写和整理。候选人是“超缓凝混凝土的凝结时间动态调控关键技术”、“基于骨料等比表面积替代原则的超缓凝混凝土凝结时间测试技术”、“基于抗压强度比系数和大掺量矿物掺合料的超缓凝混凝土配制技术”、“具有强适应性和缓凝时间可调控的超缓凝高效减水剂复配技术”4项技术创新点的主要实施者和贡献者，是“超缓凝混凝土关键原材料及生产质量控制技术”及“超缓凝混凝土配制及应用技术规程” 2项技术创新点的主要参与者和贡献者。授权发明专利2项、主编地方标准1项、发表技术论文6篇，对本课题的全面实施做出了巨大贡献。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第五候选人　沈家文：合作单位项目技术负责人，全面负责超缓凝混凝土推广应用工程的技术指导，参与协调管控超缓凝混凝土标准体系的建设以及该项目的总体策划、项目实施等工作。候选人是“超缓凝混凝土配制及应用技术规程”1项技术创新点的主要实施者和贡献者，推进了超缓凝混凝土技术成果工程中的转化应用，主编地方标准1项，对本项目的全面实施做出了重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第六候选人　马敏超：项目主要承担者，全面负责整个项目资金的落实、总体协调及组织策划，参与了整个科研项目的全过程，保证该项目按任务书进度要求顺利实施。候选人是“超缓凝混凝土的凝结时间动态调控关键技术”、“基于骨料等比表面积替代原则的超缓凝混凝土凝结时间测试技术”、“超缓凝混凝土关键原材料及生产质量控制技术”及“超缓凝混凝土配制及应用技术规程”4项技术创新点的主要参与者和贡献者。授权发明专利2项、主编地方标准1项，对本课题的全面实施做出了重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第七候选人　李翔：项目主要承担者，全面负责超缓凝混凝土的生产与施工质量控制以及超缓凝混凝土成果转化应用，参与了科研项目的立项实施、技术方案策划、项目验收评价等过程。候选人是“超缓凝混凝土的凝结时间动态调控关键技术”、“基于骨料等比表面积替代原则的超缓凝混凝土凝结时间测试技术”、“超缓凝混凝土关键原材料及生产质量控制技术”及“超缓凝混凝土配制及应用技术规程”4项技术创新点的主要参与者和贡献者。授权发明专利2项、主编地方标准1项，对本课题的全面实施做出了重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第八候选人　田 帅：项目主要承担者，全面参与了科研项目的试验研究、数据分析、项目的验收评价。候选人是“超缓凝混凝土的凝结时间动态调控关键技术”、“基于骨料等比表面积替代原则的超缓凝混凝土凝结时间测试技术”、“超缓凝混凝土关键原材料及生产质量控制技术”及“超缓凝混凝土配制及应用技术规程”4项技术创新点的主要参与者和贡献者。授权发明专利2项、主编地方标准1项，发表技术论文3篇，对本课题的全面实施做出了实质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第九候选人　林培仁：项目主要承担者，全面参与了超缓凝混凝土的生产与施工质量控制以及超缓凝混凝土成果转化应用。候选人是“超缓凝混凝土的凝结时间动态调控关键技术”、“基于骨料等比表面积替代原则的超缓凝混凝土凝结时间测试技术”、“超缓凝混凝土关键原材料及生产质量控制技术”及“超缓凝混凝土配制及应用技术规程”4项技术创新点的主要参与者和贡献者。授权发明专利2项、主编地方标准1项，对本课题的全面实施做出了实质性贡献。</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四、候选单位对项目的贡献情况</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第一候选单位 云南建投绿色高性能混凝土有限公司：项目承担单位，全面负责项目立项调研、创新内容提出、技术研究方案制定、全过程研究与协调、成果转化应用、技术总结、项目验收与评价工作，全面落实科研资金、科研设备及科研人员的投入。候选单位是“超缓凝混凝土的凝结时间动态调控关键技术”、“基于骨料等比表面积替代原则的超缓凝混凝土凝结时间测试技术”、“基于抗压强度比系数和大掺量矿物掺合料的超缓凝混凝土配制技术”、“具有强适应性和缓凝时间可调控的超缓凝高效减水剂复配技术”、“超缓凝混凝土关键原材料及生产质量控制技术”及“超缓凝混凝土配制及应用技术规程”6项技术创新点的主要实施单位和贡献单位，取得了相应的技术成果，并实现了显著的社会经济效益，对本项目的全面实施做出巨大贡献。</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第二候选单位 云南省建设投资控股集团有限公司：项目合作单位，负责项目技术支持、总体指导、总体管理协调、管控超缓凝混凝土的推广应用及标准体系的建设，参与了项目的全过程。候选单位是 “超缓凝混凝土配制及应用技术规程”1项技术创新点的主要实施单位和贡献单位，全面推进了超缓凝混凝土技术成果的转化应用，实现了显著的社会经济效益，对本项目的全面实施做出巨大贡献。</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五、推广应用情况</w:t>
      </w:r>
    </w:p>
    <w:p>
      <w:pPr>
        <w:spacing w:line="360" w:lineRule="auto"/>
        <w:ind w:firstLine="560" w:firstLineChars="200"/>
        <w:rPr>
          <w:rFonts w:ascii="仿宋_GB2312" w:hAnsi="Times New Roman" w:eastAsia="仿宋_GB2312" w:cs="Times New Roman"/>
          <w:sz w:val="28"/>
          <w:szCs w:val="28"/>
        </w:rPr>
      </w:pPr>
      <w:r>
        <w:rPr>
          <w:rFonts w:hint="eastAsia" w:ascii="仿宋_GB2312" w:hAnsi="仿宋" w:eastAsia="仿宋_GB2312"/>
          <w:sz w:val="28"/>
          <w:szCs w:val="28"/>
        </w:rPr>
        <w:t>项目成果已形成产业化,技术成熟,</w:t>
      </w:r>
      <w:r>
        <w:rPr>
          <w:rFonts w:hint="eastAsia" w:ascii="仿宋_GB2312" w:hAnsi="Times New Roman" w:eastAsia="仿宋_GB2312" w:cs="Times New Roman"/>
          <w:sz w:val="28"/>
          <w:szCs w:val="28"/>
        </w:rPr>
        <w:t>研究成果首次在昆明地铁3号线超深基坑支护工程推广应用，并进一步在地铁端头加固、超深基坑支护、超大体积混凝土、昆明铁路枢纽等工程中扩大推广应用，取得了显著的社会经济效益。</w:t>
      </w:r>
      <w:r>
        <w:rPr>
          <w:rFonts w:hint="eastAsia" w:ascii="仿宋_GB2312" w:hAnsi="仿宋" w:eastAsia="仿宋_GB2312"/>
          <w:sz w:val="28"/>
          <w:szCs w:val="28"/>
        </w:rPr>
        <w:t>2011年~2013年实现新增销售额2301.92万元。</w:t>
      </w:r>
      <w:r>
        <w:rPr>
          <w:rFonts w:hint="eastAsia" w:ascii="仿宋_GB2312" w:hAnsi="Times New Roman" w:eastAsia="仿宋_GB2312" w:cs="Times New Roman"/>
          <w:sz w:val="28"/>
          <w:szCs w:val="28"/>
        </w:rPr>
        <w:t>2014年~2016年，累计推广应用超缓凝混凝土38.38万m</w:t>
      </w:r>
      <w:r>
        <w:rPr>
          <w:rFonts w:hint="eastAsia" w:ascii="仿宋_GB2312" w:hAnsi="Times New Roman" w:eastAsia="仿宋_GB2312" w:cs="Times New Roman"/>
          <w:sz w:val="28"/>
          <w:szCs w:val="28"/>
          <w:vertAlign w:val="superscript"/>
        </w:rPr>
        <w:t>3</w:t>
      </w:r>
      <w:r>
        <w:rPr>
          <w:rFonts w:hint="eastAsia" w:ascii="仿宋_GB2312" w:hAnsi="Times New Roman" w:eastAsia="仿宋_GB2312" w:cs="Times New Roman"/>
          <w:sz w:val="28"/>
          <w:szCs w:val="28"/>
        </w:rPr>
        <w:t>，新增销售额1.18亿元，新增利润574万元。</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上海市机械施工集团有限公司、云南建投第三建设有限公司、中铁十二局集团有限公司昆明轨道交通首期工程十标项目部、云南工程建设总承包公司等7家成果应用单位认为：该成果在超深基坑开挖工程中的推广应用，可以显著促进深基坑支护与开挖施工质量，具有显著的经济效益和社会效益，开挖后连续墙墙身完整性好，防渗性能好；在钻孔咬合桩施工工程中的推广应用，对提高钻孔咬合桩施工质量具有显著作用，社会经济效益显著，施工中未出现管涌、早凝现象，开挖后咬合桩桩身完整性好，咬合处防渗性能好；在超大体积混凝土工程中的推广应用，可以延缓了水泥水化时间，降低水化热，减少混凝土内外温差，抑制混凝土温度应力裂缝，解决大体积混凝土施工中出现的“冷接头”；在超长超大直径水下混凝土桩基工程中的应用，对提高软土地区深基坑支护工程质量具有显著作用，社会经济效益显著。</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六、获得知识产权情况</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1、授权发明专利</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1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⑴</w:t>
      </w:r>
      <w:r>
        <w:rPr>
          <w:rFonts w:hint="eastAsia" w:ascii="仿宋_GB2312" w:hAnsi="仿宋" w:eastAsia="仿宋_GB2312"/>
          <w:sz w:val="28"/>
          <w:szCs w:val="28"/>
        </w:rPr>
        <w:fldChar w:fldCharType="end"/>
      </w:r>
      <w:r>
        <w:rPr>
          <w:rFonts w:hint="eastAsia" w:ascii="仿宋_GB2312" w:hAnsi="仿宋" w:eastAsia="仿宋_GB2312"/>
          <w:sz w:val="28"/>
          <w:szCs w:val="28"/>
        </w:rPr>
        <w:t>李章建,梁丽敏,李世华,马敏超,李翔，等.基于葡萄糖酸钠缓凝剂的超缓凝混凝土凝结时间调控方法, 授权专利号：ZL201410667513.8。</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2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⑵</w:t>
      </w:r>
      <w:r>
        <w:rPr>
          <w:rFonts w:hint="eastAsia" w:ascii="仿宋_GB2312" w:hAnsi="仿宋" w:eastAsia="仿宋_GB2312"/>
          <w:sz w:val="28"/>
          <w:szCs w:val="28"/>
        </w:rPr>
        <w:fldChar w:fldCharType="end"/>
      </w:r>
      <w:r>
        <w:rPr>
          <w:rFonts w:hint="eastAsia" w:ascii="仿宋_GB2312" w:hAnsi="仿宋" w:eastAsia="仿宋_GB2312"/>
          <w:sz w:val="28"/>
          <w:szCs w:val="28"/>
        </w:rPr>
        <w:t>李章建,李世华,梁丽敏,李翔,马敏超,等. 基于骨料等比表面积替代原则的混凝土凝结时间试验方法, 授权专利号：ZL201410668361.3。</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2、地方标准</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刘国强，李章建，沈家文，梁丽敏，马敏超，李世华，等.《超缓凝混凝土配制及应用技术规程》，标准号：DBJ 53/T-79-2016</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3、技术论文</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1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⑴</w:t>
      </w:r>
      <w:r>
        <w:rPr>
          <w:rFonts w:hint="eastAsia" w:ascii="仿宋_GB2312" w:hAnsi="仿宋" w:eastAsia="仿宋_GB2312"/>
          <w:sz w:val="28"/>
          <w:szCs w:val="28"/>
        </w:rPr>
        <w:fldChar w:fldCharType="end"/>
      </w:r>
      <w:r>
        <w:rPr>
          <w:rFonts w:hint="eastAsia" w:ascii="仿宋_GB2312" w:hAnsi="仿宋" w:eastAsia="仿宋_GB2312"/>
          <w:sz w:val="28"/>
          <w:szCs w:val="28"/>
        </w:rPr>
        <w:t>李章建，李世华，梁丽敏，李翔，赵彦.原材料对超缓凝混凝土凝结性能及力学性能的影响[J].昆明理工大学学报，2015，40（增刊）：277-283.</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2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⑵</w:t>
      </w:r>
      <w:r>
        <w:rPr>
          <w:rFonts w:hint="eastAsia" w:ascii="仿宋_GB2312" w:hAnsi="仿宋" w:eastAsia="仿宋_GB2312"/>
          <w:sz w:val="28"/>
          <w:szCs w:val="28"/>
        </w:rPr>
        <w:fldChar w:fldCharType="end"/>
      </w:r>
      <w:r>
        <w:rPr>
          <w:rFonts w:hint="eastAsia" w:ascii="仿宋_GB2312" w:hAnsi="仿宋" w:eastAsia="仿宋_GB2312"/>
          <w:sz w:val="28"/>
          <w:szCs w:val="28"/>
        </w:rPr>
        <w:t>李世华，闫能磊，梁丽敏，王模弼，田帅.缓凝剂对混凝土拌合物性能及抗压强度的影响[C].预拌混凝土实用技术—2015CCPA预拌混凝土分会年会暨第二届绿色混凝土发展高峰论坛论文集，2015：145-152.</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3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⑶</w:t>
      </w:r>
      <w:r>
        <w:rPr>
          <w:rFonts w:hint="eastAsia" w:ascii="仿宋_GB2312" w:hAnsi="仿宋" w:eastAsia="仿宋_GB2312"/>
          <w:sz w:val="28"/>
          <w:szCs w:val="28"/>
        </w:rPr>
        <w:fldChar w:fldCharType="end"/>
      </w:r>
      <w:r>
        <w:rPr>
          <w:rFonts w:hint="eastAsia" w:ascii="仿宋_GB2312" w:hAnsi="仿宋" w:eastAsia="仿宋_GB2312"/>
          <w:sz w:val="28"/>
          <w:szCs w:val="28"/>
        </w:rPr>
        <w:t>李世华，李章建，王模弼，何云，田帅等.超缓凝混凝土的配合比试验研究及设计方法[J].混凝土工作性调整[M].北京,中国建材工业出版社，2016</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4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⑷</w:t>
      </w:r>
      <w:r>
        <w:rPr>
          <w:rFonts w:hint="eastAsia" w:ascii="仿宋_GB2312" w:hAnsi="仿宋" w:eastAsia="仿宋_GB2312"/>
          <w:sz w:val="28"/>
          <w:szCs w:val="28"/>
        </w:rPr>
        <w:fldChar w:fldCharType="end"/>
      </w:r>
      <w:r>
        <w:rPr>
          <w:rFonts w:hint="eastAsia" w:ascii="仿宋_GB2312" w:hAnsi="仿宋" w:eastAsia="仿宋_GB2312"/>
          <w:sz w:val="28"/>
          <w:szCs w:val="28"/>
        </w:rPr>
        <w:t>刘勇，李世华，李章建，梁丽敏，闫能磊.超缓凝大掺量矿物掺合料混凝土的配制及在钻孔咬合桩中的应用[J].建筑施工，2014，36（11）：1298-1300。</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5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⑸</w:t>
      </w:r>
      <w:r>
        <w:rPr>
          <w:rFonts w:hint="eastAsia" w:ascii="仿宋_GB2312" w:hAnsi="仿宋" w:eastAsia="仿宋_GB2312"/>
          <w:sz w:val="28"/>
          <w:szCs w:val="28"/>
        </w:rPr>
        <w:fldChar w:fldCharType="end"/>
      </w:r>
      <w:r>
        <w:rPr>
          <w:rFonts w:hint="eastAsia" w:ascii="仿宋_GB2312" w:hAnsi="仿宋" w:eastAsia="仿宋_GB2312"/>
          <w:sz w:val="28"/>
          <w:szCs w:val="28"/>
        </w:rPr>
        <w:t>刘勇，李世华，李章建，梁丽敏，闫能磊.超缓凝混凝土的耐久性研究[J].建材发展导向，2014，12（12）：57-63。</w:t>
      </w:r>
    </w:p>
    <w:p>
      <w:pPr>
        <w:spacing w:line="360" w:lineRule="auto"/>
        <w:ind w:firstLine="560" w:firstLineChars="200"/>
        <w:rPr>
          <w:rFonts w:ascii="仿宋_GB2312" w:hAnsi="Times New Roman" w:eastAsia="仿宋_GB2312" w:cs="Times New Roman"/>
          <w:sz w:val="28"/>
          <w:szCs w:val="28"/>
        </w:rPr>
      </w:pP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 6 \* GB2 </w:instrText>
      </w:r>
      <w:r>
        <w:rPr>
          <w:rFonts w:hint="eastAsia" w:ascii="仿宋_GB2312" w:hAnsi="仿宋" w:eastAsia="仿宋_GB2312"/>
          <w:sz w:val="28"/>
          <w:szCs w:val="28"/>
        </w:rPr>
        <w:fldChar w:fldCharType="separate"/>
      </w:r>
      <w:r>
        <w:rPr>
          <w:rFonts w:hint="eastAsia" w:ascii="仿宋_GB2312" w:hAnsi="仿宋" w:eastAsia="仿宋_GB2312"/>
          <w:sz w:val="28"/>
          <w:szCs w:val="28"/>
        </w:rPr>
        <w:t>⑹</w:t>
      </w:r>
      <w:r>
        <w:rPr>
          <w:rFonts w:hint="eastAsia" w:ascii="仿宋_GB2312" w:hAnsi="仿宋" w:eastAsia="仿宋_GB2312"/>
          <w:sz w:val="28"/>
          <w:szCs w:val="28"/>
        </w:rPr>
        <w:fldChar w:fldCharType="end"/>
      </w:r>
      <w:r>
        <w:rPr>
          <w:rFonts w:hint="eastAsia" w:ascii="仿宋_GB2312" w:hAnsi="仿宋" w:eastAsia="仿宋_GB2312"/>
          <w:sz w:val="28"/>
          <w:szCs w:val="28"/>
        </w:rPr>
        <w:t>田帅，梁丽敏，王模弼，李世华，李章建.大体积混凝土在VMG五轴联动数控龙门铣床设备基础工程中的应用[C].昆明：“云南省混凝土协会成立25周年混凝土技术交流”论文集，2014：369~373。</w:t>
      </w:r>
    </w:p>
    <w:p>
      <w:pPr>
        <w:widowControl/>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七．项目曾获科技奖励情况</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1、《超缓凝混凝土配制及在昆明轨道交通工程中的推广应用》获云南建工集团有限公司2011年度科技进步二等奖。</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2、《C5水下混凝土在地铁工程端头加固中的应用》获云南建工集团有限公司2013年度科技进步三等奖。</w:t>
      </w: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0" w:firstLineChars="200"/>
        <w:rPr>
          <w:rFonts w:ascii="仿宋_GB2312" w:hAnsi="仿宋" w:eastAsia="仿宋_GB2312"/>
          <w:sz w:val="28"/>
          <w:szCs w:val="28"/>
        </w:rPr>
      </w:pPr>
    </w:p>
    <w:p>
      <w:pPr>
        <w:spacing w:line="360" w:lineRule="auto"/>
        <w:ind w:firstLine="562" w:firstLineChars="200"/>
        <w:jc w:val="center"/>
        <w:rPr>
          <w:rFonts w:ascii="仿宋_GB2312" w:eastAsia="仿宋_GB2312"/>
          <w:b/>
          <w:sz w:val="28"/>
          <w:szCs w:val="28"/>
        </w:rPr>
      </w:pPr>
      <w:r>
        <w:rPr>
          <w:rFonts w:hint="eastAsia" w:ascii="仿宋_GB2312" w:eastAsia="仿宋_GB2312"/>
          <w:b/>
          <w:sz w:val="28"/>
          <w:szCs w:val="28"/>
        </w:rPr>
        <w:t>高层建筑精细化施工成套技术的研究及应用</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一、项目基本情况</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项目名称：高层建筑精细化施工成套技术的研究及应用</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科技成果登记号：16420170005</w:t>
      </w:r>
    </w:p>
    <w:p>
      <w:pPr>
        <w:spacing w:line="360" w:lineRule="auto"/>
        <w:ind w:firstLine="560" w:firstLineChars="200"/>
        <w:rPr>
          <w:rFonts w:ascii="仿宋_GB2312" w:eastAsia="仿宋_GB2312"/>
          <w:color w:val="000000"/>
          <w:kern w:val="0"/>
          <w:sz w:val="28"/>
          <w:szCs w:val="28"/>
        </w:rPr>
      </w:pPr>
      <w:r>
        <w:rPr>
          <w:rFonts w:hint="eastAsia" w:ascii="仿宋_GB2312" w:eastAsia="仿宋_GB2312"/>
          <w:sz w:val="28"/>
          <w:szCs w:val="28"/>
        </w:rPr>
        <w:t>主要完成人：</w:t>
      </w:r>
      <w:r>
        <w:rPr>
          <w:rFonts w:hint="eastAsia" w:ascii="仿宋_GB2312" w:eastAsia="仿宋_GB2312"/>
          <w:color w:val="000000"/>
          <w:kern w:val="0"/>
          <w:sz w:val="28"/>
          <w:szCs w:val="28"/>
        </w:rPr>
        <w:t>熊英、宁宏翔、顾铭、马旭东、徐金龙、黄俊云、</w:t>
      </w:r>
      <w:r>
        <w:rPr>
          <w:rFonts w:hint="eastAsia" w:ascii="仿宋_GB2312" w:eastAsia="仿宋_GB2312"/>
          <w:bCs/>
          <w:sz w:val="28"/>
          <w:szCs w:val="28"/>
        </w:rPr>
        <w:t>马利波</w:t>
      </w:r>
    </w:p>
    <w:p>
      <w:pPr>
        <w:spacing w:line="360" w:lineRule="auto"/>
        <w:ind w:firstLine="560" w:firstLineChars="200"/>
        <w:rPr>
          <w:rFonts w:ascii="仿宋_GB2312" w:eastAsia="仿宋_GB2312"/>
          <w:color w:val="000000"/>
          <w:sz w:val="28"/>
          <w:szCs w:val="28"/>
        </w:rPr>
      </w:pPr>
      <w:r>
        <w:rPr>
          <w:rFonts w:hint="eastAsia" w:ascii="仿宋_GB2312" w:eastAsia="仿宋_GB2312"/>
          <w:color w:val="000000"/>
          <w:kern w:val="0"/>
          <w:sz w:val="28"/>
          <w:szCs w:val="28"/>
        </w:rPr>
        <w:t>主要完成单位：云南省建设投资控股集团有限公司、</w:t>
      </w:r>
      <w:r>
        <w:rPr>
          <w:rFonts w:hint="eastAsia" w:ascii="仿宋_GB2312" w:eastAsia="仿宋_GB2312"/>
          <w:color w:val="000000"/>
          <w:sz w:val="28"/>
          <w:szCs w:val="28"/>
        </w:rPr>
        <w:t>云南工程建设总承包公司、云南建投第四建设有限公司</w:t>
      </w:r>
    </w:p>
    <w:p>
      <w:p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推荐单位：云南省建设投资控股集团有限公司</w:t>
      </w:r>
    </w:p>
    <w:p>
      <w:p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二、项目简介</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项目背景：实行精细化管理是建筑业的必然趋势，建筑业精细化管理是未来建筑业的发展之路，是社会分工的精细化以及服务质量的精细化对现代管理的必然要求，是建立在常规管理的基础上并将管理引向深入，将精细化管理的思想和作风贯彻到企业每个环节的一种管理模式。精细化管理强调将管理工作做细、做精，以全面提高企业管理水平和工作质量，是企业超越竞争者、超越自我的需要，是企业追求卓越、现实、完美的必然选择，也是确保企业在激烈的市场竞争中立于不败之地的重要指导思想和管理理论。正是在这样的时代背景下，在我国市场经济快速发展的宏观大环境下，我们基于推动企业技术进步、管理创新，运用创新性思维，按照“四节一环保”的节能要求，对“高层建筑精细化成套技术”持续进行了研究。</w:t>
      </w:r>
    </w:p>
    <w:p>
      <w:pPr>
        <w:spacing w:line="360" w:lineRule="auto"/>
        <w:ind w:firstLine="560" w:firstLineChars="200"/>
        <w:rPr>
          <w:rFonts w:ascii="仿宋_GB2312" w:hAnsi="宋体" w:eastAsia="仿宋_GB2312" w:cs="宋体"/>
          <w:color w:val="000000"/>
          <w:sz w:val="28"/>
          <w:szCs w:val="28"/>
        </w:rPr>
      </w:pPr>
      <w:r>
        <w:rPr>
          <w:rFonts w:hint="eastAsia" w:ascii="仿宋_GB2312" w:hAnsi="宋体" w:eastAsia="仿宋_GB2312" w:cs="宋体"/>
          <w:sz w:val="28"/>
          <w:szCs w:val="28"/>
        </w:rPr>
        <w:t>技术原理：综合“砌体免抹灰技术”、“附着式升降脚手架与电动施工升降平台一体化应用技术”、 “地下室精细化</w:t>
      </w:r>
      <w:r>
        <w:rPr>
          <w:rFonts w:hint="eastAsia" w:ascii="仿宋_GB2312" w:hAnsi="宋体" w:eastAsia="仿宋_GB2312" w:cs="宋体"/>
          <w:color w:val="000000"/>
          <w:sz w:val="28"/>
          <w:szCs w:val="28"/>
        </w:rPr>
        <w:t>施工关键技术”以及“建筑工程防水防渗漏施工关键技术”、“铝合金模板质量控制关键技术”、“BIM技术应用”等多项技术，形成一系列精细化成套技术的研究应用，使房屋的性能和品质得到了提升，提升了房屋建筑的舒适性、安全性和可靠性。</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1. 通过铝合金模板质量控制关键技术、砌体免抹灰施工技术研究和创新，</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可使工程混凝土结构及砌体结构实现免抹灰，全面提升了工程质量。</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2.通过地下室精细化施工关键技术的研究，改进了大体积混凝土及后浇带的</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支撑体系。</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3.通过建筑工程防水防渗漏施工技术的研究，较好地解决了女儿墙根部、外</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墙砌体和结构交接处渗漏的问题。</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4.通过附着式升降脚手架与电动施工升降平台一体化应用技术的运用，实现</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了节能环保绿色施工。</w:t>
      </w:r>
    </w:p>
    <w:p>
      <w:pPr>
        <w:spacing w:line="360" w:lineRule="auto"/>
        <w:ind w:firstLine="560" w:firstLineChars="200"/>
        <w:rPr>
          <w:rFonts w:ascii="仿宋_GB2312" w:hAnsi="宋体" w:eastAsia="仿宋_GB2312" w:cs="宋体"/>
          <w:sz w:val="28"/>
          <w:szCs w:val="28"/>
        </w:rPr>
      </w:pPr>
      <w:r>
        <w:rPr>
          <w:rFonts w:hint="eastAsia" w:ascii="仿宋_GB2312" w:hAnsi="宋体" w:eastAsia="仿宋_GB2312" w:cs="宋体"/>
          <w:sz w:val="28"/>
          <w:szCs w:val="28"/>
        </w:rPr>
        <w:t>5. 应用BIM 施工协同可视化平台，改变了传统的施工管理模式。</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该课题获得8项专利、获批4项省级工法、发表论文2篇。产生直接经济效益</w:t>
      </w:r>
      <w:r>
        <w:rPr>
          <w:rFonts w:hint="eastAsia" w:ascii="仿宋_GB2312" w:hAnsi="宋体" w:eastAsia="仿宋_GB2312" w:cs="宋体"/>
          <w:sz w:val="28"/>
          <w:szCs w:val="28"/>
        </w:rPr>
        <w:t>约791.71万元</w:t>
      </w:r>
      <w:r>
        <w:rPr>
          <w:rFonts w:hint="eastAsia" w:ascii="仿宋_GB2312" w:eastAsia="仿宋_GB2312"/>
          <w:sz w:val="28"/>
          <w:szCs w:val="28"/>
        </w:rPr>
        <w:t>。该研究处于国内先进水平，经济效益、社会效益和环境效益显著，对类似工程的施工具有重大的指导意义和推广价值。</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三、候选人和候选单位对项目的贡献情况</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第一候选人</w:t>
      </w:r>
      <w:r>
        <w:rPr>
          <w:rFonts w:hint="eastAsia" w:ascii="仿宋_GB2312" w:eastAsia="仿宋_GB2312"/>
          <w:color w:val="000000"/>
          <w:kern w:val="0"/>
          <w:sz w:val="28"/>
          <w:szCs w:val="28"/>
        </w:rPr>
        <w:t>熊英</w:t>
      </w:r>
      <w:r>
        <w:rPr>
          <w:rFonts w:hint="eastAsia" w:ascii="仿宋_GB2312" w:eastAsia="仿宋_GB2312"/>
          <w:sz w:val="28"/>
          <w:szCs w:val="28"/>
        </w:rPr>
        <w:t>：项目负责人，参与了整个科研项目的全过程，负责项目总体策划、项目实施、项目验收等工作，保证该项目按任务书进度要求顺利实施，对本项目的全面实施做出了巨大贡献。并在项目实施过程中，主笔完成“附着式升降脚手架与电动施工升降平台一体化应用施工工法”1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第二候选人</w:t>
      </w:r>
      <w:r>
        <w:rPr>
          <w:rFonts w:hint="eastAsia" w:ascii="仿宋_GB2312" w:eastAsia="仿宋_GB2312"/>
          <w:color w:val="000000"/>
          <w:kern w:val="0"/>
          <w:sz w:val="28"/>
          <w:szCs w:val="28"/>
        </w:rPr>
        <w:t>宁宏翔</w:t>
      </w:r>
      <w:r>
        <w:rPr>
          <w:rFonts w:hint="eastAsia" w:ascii="仿宋_GB2312" w:eastAsia="仿宋_GB2312"/>
          <w:sz w:val="28"/>
          <w:szCs w:val="28"/>
        </w:rPr>
        <w:t>：项目技术指导，参与了整个科研项目的全过程，负责项目总体策划、项目实施等工作，对本项目的全面实施做出了巨大贡献。参与完成“一种混凝土与砌体接缝处的墙体免抹灰抗裂结构”、“一种混凝土与砌体接缝处的墙体免抹灰抗裂结构”专利2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第三候选人</w:t>
      </w:r>
      <w:r>
        <w:rPr>
          <w:rFonts w:hint="eastAsia" w:ascii="仿宋_GB2312" w:eastAsia="仿宋_GB2312"/>
          <w:color w:val="000000"/>
          <w:kern w:val="0"/>
          <w:sz w:val="28"/>
          <w:szCs w:val="28"/>
        </w:rPr>
        <w:t>顾铭</w:t>
      </w:r>
      <w:r>
        <w:rPr>
          <w:rFonts w:hint="eastAsia" w:ascii="仿宋_GB2312" w:eastAsia="仿宋_GB2312"/>
          <w:sz w:val="28"/>
          <w:szCs w:val="28"/>
        </w:rPr>
        <w:t>：负责免抹灰技术总指导及组织协调工作，组织人员进行方案设计、协调、管理和实施，协助项目负责人展开项目管理工作，对本项目的全面实施做出了巨大贡献。参与完成“一种建筑物的对拉螺杆洞防渗漏结构专利”1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第四候选人</w:t>
      </w:r>
      <w:r>
        <w:rPr>
          <w:rFonts w:hint="eastAsia" w:ascii="仿宋_GB2312" w:eastAsia="仿宋_GB2312"/>
          <w:color w:val="000000"/>
          <w:kern w:val="0"/>
          <w:sz w:val="28"/>
          <w:szCs w:val="28"/>
        </w:rPr>
        <w:t>马旭东</w:t>
      </w:r>
      <w:r>
        <w:rPr>
          <w:rFonts w:hint="eastAsia" w:ascii="仿宋_GB2312" w:eastAsia="仿宋_GB2312"/>
          <w:sz w:val="28"/>
          <w:szCs w:val="28"/>
        </w:rPr>
        <w:t>：项目研究工作主要负责人，技术指导，组织协调免抹灰技术、铝合金模板、防水防渗技术研究人员的职责分配，协调项目负责人展开项目管理工作，对本项目的全面实施做出了巨大贡献。参与完成“一种混凝土与砌体接缝处的墙体免抹灰抗裂结构”、“一种建筑物墙面免抹灰顺直阴阳角结构”、“一种抗裂及防空鼓的免抹灰砌体墙面结构”、“一种建筑物的对拉螺杆洞防渗漏结构专利”、“一种附着式升降脚手架防坠落安全保护装置专利”专利5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第五候选人</w:t>
      </w:r>
      <w:r>
        <w:rPr>
          <w:rFonts w:hint="eastAsia" w:ascii="仿宋_GB2312" w:eastAsia="仿宋_GB2312"/>
          <w:color w:val="000000"/>
          <w:kern w:val="0"/>
          <w:sz w:val="28"/>
          <w:szCs w:val="28"/>
        </w:rPr>
        <w:t>徐金龙</w:t>
      </w:r>
      <w:r>
        <w:rPr>
          <w:rFonts w:hint="eastAsia" w:ascii="仿宋_GB2312" w:eastAsia="仿宋_GB2312"/>
          <w:sz w:val="28"/>
          <w:szCs w:val="28"/>
        </w:rPr>
        <w:t>：项目总体技术负责人，参与了大部分科研项目的全过程，负责项目体策划、项目实施、项目验收等工作，负责解决技术难题，对项目中发现的技术难题组织论证，在该项目设计及施工过程中发明了多项专利，对本项目的全面实施做出了巨大贡献。参与完成“一种混凝土与砌体接缝处的墙体免抹灰抗裂结构”、“一种防脱落的屋面防水结构”、“一种抗裂及防空鼓的免抹灰砌体墙面结构”、“一种建筑物的对拉螺杆洞防渗漏结构专利”、“一种附着式升降脚手架防坠落安全保护装置专利”专利4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第六候选人</w:t>
      </w:r>
      <w:r>
        <w:rPr>
          <w:rFonts w:hint="eastAsia" w:ascii="仿宋_GB2312" w:eastAsia="仿宋_GB2312"/>
          <w:color w:val="000000"/>
          <w:kern w:val="0"/>
          <w:sz w:val="28"/>
          <w:szCs w:val="28"/>
        </w:rPr>
        <w:t>黄俊云</w:t>
      </w:r>
      <w:r>
        <w:rPr>
          <w:rFonts w:hint="eastAsia" w:ascii="仿宋_GB2312" w:eastAsia="仿宋_GB2312"/>
          <w:sz w:val="28"/>
          <w:szCs w:val="28"/>
        </w:rPr>
        <w:t>：参与项目全过程研究及实施，形成多项专利，负责资料的搜集和整理工作，对本项目的全面实施做出了巨大贡献。参与完成 “一种抗裂及防空鼓的免抹灰砌体墙面结构”、 “一种附着式升降脚手架防坠落安全保护装置专利”专利2项。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第七候选人</w:t>
      </w:r>
      <w:r>
        <w:rPr>
          <w:rFonts w:hint="eastAsia" w:ascii="仿宋_GB2312" w:eastAsia="仿宋_GB2312"/>
          <w:bCs/>
          <w:sz w:val="28"/>
          <w:szCs w:val="28"/>
        </w:rPr>
        <w:t>马利波</w:t>
      </w:r>
      <w:r>
        <w:rPr>
          <w:rFonts w:hint="eastAsia" w:ascii="仿宋_GB2312" w:eastAsia="仿宋_GB2312"/>
          <w:sz w:val="28"/>
          <w:szCs w:val="28"/>
        </w:rPr>
        <w:t>：技术负责人，负责项目实施工作，解决现场技术难题，参与项目的调研，协助管理实施，对本项目的实施做出了巨大贡献。参与完成“方便周转使用的后浇带支撑装置”专利1项。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四、候选单位对项目的贡献情况</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第一候选单位</w:t>
      </w:r>
      <w:r>
        <w:rPr>
          <w:rFonts w:hint="eastAsia" w:ascii="仿宋_GB2312" w:eastAsia="仿宋_GB2312"/>
          <w:color w:val="000000"/>
          <w:sz w:val="28"/>
          <w:szCs w:val="28"/>
        </w:rPr>
        <w:t>云南省建设投资控股集团有限公司</w:t>
      </w:r>
      <w:r>
        <w:rPr>
          <w:rFonts w:hint="eastAsia" w:ascii="仿宋_GB2312" w:eastAsia="仿宋_GB2312"/>
          <w:sz w:val="28"/>
          <w:szCs w:val="28"/>
        </w:rPr>
        <w:t>：项目主要完成单位，全面负责本项目的立项、调研、实施以及成果转化应用、技术总结、项目验收和鉴定工作，全面负责高层建筑精细化施工成套技术的研究及应用的技术路线、实施目标的制定，全面落实人员，组织协调任务分工，选定和落实应用工程，并积极</w:t>
      </w:r>
      <w:r>
        <w:rPr>
          <w:rFonts w:hint="eastAsia" w:ascii="仿宋_GB2312" w:hAnsi="宋体" w:eastAsia="仿宋_GB2312" w:cs="宋体"/>
          <w:sz w:val="28"/>
          <w:szCs w:val="28"/>
        </w:rPr>
        <w:t>推广应，用</w:t>
      </w:r>
      <w:r>
        <w:rPr>
          <w:rFonts w:hint="eastAsia" w:ascii="仿宋_GB2312" w:eastAsia="仿宋_GB2312"/>
          <w:sz w:val="28"/>
          <w:szCs w:val="28"/>
        </w:rPr>
        <w:t>取得了相应的技术成果。并在集团内外部积极的</w:t>
      </w:r>
      <w:r>
        <w:rPr>
          <w:rFonts w:hint="eastAsia" w:ascii="仿宋_GB2312" w:hAnsi="宋体" w:eastAsia="仿宋_GB2312" w:cs="宋体"/>
          <w:sz w:val="28"/>
          <w:szCs w:val="28"/>
        </w:rPr>
        <w:t>推广应用，</w:t>
      </w:r>
      <w:r>
        <w:rPr>
          <w:rFonts w:hint="eastAsia" w:ascii="仿宋_GB2312" w:eastAsia="仿宋_GB2312"/>
          <w:sz w:val="28"/>
          <w:szCs w:val="28"/>
        </w:rPr>
        <w:t>实现了显著的社会经济效益。</w:t>
      </w:r>
    </w:p>
    <w:p>
      <w:pPr>
        <w:spacing w:line="360" w:lineRule="auto"/>
        <w:ind w:firstLine="560" w:firstLineChars="200"/>
        <w:rPr>
          <w:rFonts w:ascii="仿宋_GB2312" w:hAnsi="宋体" w:eastAsia="仿宋_GB2312" w:cs="宋体"/>
          <w:sz w:val="28"/>
          <w:szCs w:val="28"/>
        </w:rPr>
      </w:pPr>
      <w:r>
        <w:rPr>
          <w:rFonts w:hint="eastAsia" w:ascii="仿宋_GB2312" w:eastAsia="仿宋_GB2312"/>
          <w:sz w:val="28"/>
          <w:szCs w:val="28"/>
        </w:rPr>
        <w:t>第二候选单位云南工程建设总承包公司：</w:t>
      </w:r>
      <w:r>
        <w:rPr>
          <w:rFonts w:hint="eastAsia" w:ascii="仿宋_GB2312" w:hAnsi="宋体" w:eastAsia="仿宋_GB2312" w:cs="宋体"/>
          <w:sz w:val="28"/>
          <w:szCs w:val="28"/>
        </w:rPr>
        <w:t>作为本项目的第二完成单位，</w:t>
      </w:r>
      <w:r>
        <w:rPr>
          <w:rFonts w:hint="eastAsia" w:ascii="仿宋_GB2312" w:eastAsia="仿宋_GB2312"/>
          <w:sz w:val="28"/>
          <w:szCs w:val="28"/>
        </w:rPr>
        <w:t>是本项目研究技术的支撑单位，负责多个分项项目技术支持及总体管理协商。</w:t>
      </w:r>
      <w:r>
        <w:rPr>
          <w:rFonts w:hint="eastAsia" w:ascii="仿宋_GB2312" w:hAnsi="宋体" w:eastAsia="仿宋_GB2312" w:cs="宋体"/>
          <w:sz w:val="28"/>
          <w:szCs w:val="28"/>
        </w:rPr>
        <w:t>负责项目的立项、审批、实施过程的监管。在科技创新方面，该单位负责提供专家技术支持以及研究成果总结的指导等工作。在推广应用方面，该单位负责协调外部关系，将本项目研究成果向外部进行推广。</w:t>
      </w:r>
    </w:p>
    <w:p>
      <w:pPr>
        <w:spacing w:line="360" w:lineRule="auto"/>
        <w:ind w:firstLine="560" w:firstLineChars="200"/>
        <w:rPr>
          <w:rFonts w:ascii="仿宋_GB2312" w:hAnsi="宋体" w:eastAsia="仿宋_GB2312" w:cs="宋体"/>
          <w:sz w:val="28"/>
          <w:szCs w:val="28"/>
        </w:rPr>
      </w:pPr>
      <w:r>
        <w:rPr>
          <w:rFonts w:hint="eastAsia" w:ascii="仿宋_GB2312" w:eastAsia="仿宋_GB2312"/>
          <w:sz w:val="28"/>
          <w:szCs w:val="28"/>
        </w:rPr>
        <w:t>第三候选单位</w:t>
      </w:r>
      <w:r>
        <w:rPr>
          <w:rFonts w:hint="eastAsia" w:ascii="仿宋_GB2312" w:eastAsia="仿宋_GB2312"/>
          <w:color w:val="000000"/>
          <w:sz w:val="28"/>
          <w:szCs w:val="28"/>
        </w:rPr>
        <w:t>云南建投第四建设有限公司</w:t>
      </w:r>
      <w:r>
        <w:rPr>
          <w:rFonts w:hint="eastAsia" w:ascii="仿宋_GB2312" w:eastAsia="仿宋_GB2312"/>
          <w:sz w:val="28"/>
          <w:szCs w:val="28"/>
        </w:rPr>
        <w:t>：</w:t>
      </w:r>
      <w:r>
        <w:rPr>
          <w:rFonts w:hint="eastAsia" w:ascii="仿宋_GB2312" w:hAnsi="宋体" w:eastAsia="仿宋_GB2312" w:cs="宋体"/>
          <w:sz w:val="28"/>
          <w:szCs w:val="28"/>
        </w:rPr>
        <w:t>是本项目实施的主体单位之一，负责</w:t>
      </w:r>
      <w:r>
        <w:rPr>
          <w:rFonts w:hint="eastAsia" w:ascii="仿宋_GB2312" w:eastAsia="仿宋_GB2312"/>
          <w:sz w:val="28"/>
          <w:szCs w:val="28"/>
        </w:rPr>
        <w:t>进行</w:t>
      </w:r>
      <w:r>
        <w:rPr>
          <w:rFonts w:hint="eastAsia" w:ascii="仿宋_GB2312" w:hAnsi="宋体" w:eastAsia="仿宋_GB2312" w:cs="宋体"/>
          <w:sz w:val="28"/>
          <w:szCs w:val="28"/>
        </w:rPr>
        <w:t>地下室精细化施工关键技术的</w:t>
      </w:r>
      <w:r>
        <w:rPr>
          <w:rFonts w:hint="eastAsia" w:ascii="仿宋_GB2312" w:eastAsia="仿宋_GB2312"/>
          <w:sz w:val="28"/>
          <w:szCs w:val="28"/>
        </w:rPr>
        <w:t>研究</w:t>
      </w:r>
      <w:r>
        <w:rPr>
          <w:rFonts w:hint="eastAsia" w:ascii="仿宋_GB2312" w:hAnsi="宋体" w:eastAsia="仿宋_GB2312" w:cs="宋体"/>
          <w:sz w:val="28"/>
          <w:szCs w:val="28"/>
        </w:rPr>
        <w:t>项目组织机构的建设及项目日常管理工作。在推广应用方面，本项目所产生的技术成果部分应用于该单位承建的工程中，该单位是本项目推广应用的主要力量和使用方。</w:t>
      </w:r>
    </w:p>
    <w:p>
      <w:pPr>
        <w:spacing w:line="360" w:lineRule="auto"/>
        <w:rPr>
          <w:rFonts w:ascii="仿宋_GB2312" w:hAnsi="宋体" w:eastAsia="仿宋_GB2312"/>
          <w:b/>
          <w:sz w:val="28"/>
          <w:szCs w:val="28"/>
        </w:rPr>
      </w:pPr>
      <w:r>
        <w:rPr>
          <w:rFonts w:hint="eastAsia" w:ascii="仿宋_GB2312" w:hAnsi="宋体" w:eastAsia="仿宋_GB2312"/>
          <w:b/>
          <w:sz w:val="28"/>
          <w:szCs w:val="28"/>
        </w:rPr>
        <w:t>五、获得的主要知识产权目录及科技奖励情况</w:t>
      </w:r>
    </w:p>
    <w:p>
      <w:pPr>
        <w:numPr>
          <w:ilvl w:val="0"/>
          <w:numId w:val="1"/>
        </w:numPr>
        <w:spacing w:after="312" w:afterLines="100" w:line="440" w:lineRule="exact"/>
        <w:ind w:left="357" w:hanging="357"/>
        <w:rPr>
          <w:rFonts w:ascii="宋体" w:hAnsi="宋体" w:cs="宋体"/>
          <w:sz w:val="24"/>
          <w:szCs w:val="24"/>
        </w:rPr>
      </w:pPr>
      <w:r>
        <w:rPr>
          <w:rFonts w:ascii="宋体" w:hAnsi="宋体" w:cs="宋体"/>
          <w:sz w:val="24"/>
          <w:szCs w:val="24"/>
        </w:rPr>
        <w:t>已获得的专利</w:t>
      </w:r>
    </w:p>
    <w:tbl>
      <w:tblPr>
        <w:tblStyle w:val="12"/>
        <w:tblW w:w="9557" w:type="dxa"/>
        <w:jc w:val="center"/>
        <w:tblInd w:w="0" w:type="dxa"/>
        <w:tblLayout w:type="fixed"/>
        <w:tblCellMar>
          <w:top w:w="0" w:type="dxa"/>
          <w:left w:w="108" w:type="dxa"/>
          <w:bottom w:w="0" w:type="dxa"/>
          <w:right w:w="108" w:type="dxa"/>
        </w:tblCellMar>
      </w:tblPr>
      <w:tblGrid>
        <w:gridCol w:w="768"/>
        <w:gridCol w:w="1985"/>
        <w:gridCol w:w="2126"/>
        <w:gridCol w:w="850"/>
        <w:gridCol w:w="3828"/>
      </w:tblGrid>
      <w:tr>
        <w:tblPrEx>
          <w:tblLayout w:type="fixed"/>
          <w:tblCellMar>
            <w:top w:w="0" w:type="dxa"/>
            <w:left w:w="108" w:type="dxa"/>
            <w:bottom w:w="0" w:type="dxa"/>
            <w:right w:w="108" w:type="dxa"/>
          </w:tblCellMar>
        </w:tblPrEx>
        <w:trPr>
          <w:trHeight w:val="413"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序号</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专利名称</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专利号</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专利类别</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完成人</w:t>
            </w:r>
          </w:p>
        </w:tc>
      </w:tr>
      <w:tr>
        <w:tblPrEx>
          <w:tblLayout w:type="fixed"/>
          <w:tblCellMar>
            <w:top w:w="0" w:type="dxa"/>
            <w:left w:w="108" w:type="dxa"/>
            <w:bottom w:w="0" w:type="dxa"/>
            <w:right w:w="108" w:type="dxa"/>
          </w:tblCellMar>
        </w:tblPrEx>
        <w:trPr>
          <w:trHeight w:val="545"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1</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一种混凝土与砌体接缝处的墙体免抹灰抗裂结构</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ZL201620774056.7</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马旭东、方菊明、宁宏翔、何泽军、李志彬、徐金龙、陈卫民、黄照猛、陈明青、李杰</w:t>
            </w:r>
          </w:p>
        </w:tc>
      </w:tr>
      <w:tr>
        <w:tblPrEx>
          <w:tblLayout w:type="fixed"/>
          <w:tblCellMar>
            <w:top w:w="0" w:type="dxa"/>
            <w:left w:w="108" w:type="dxa"/>
            <w:bottom w:w="0" w:type="dxa"/>
            <w:right w:w="108" w:type="dxa"/>
          </w:tblCellMar>
        </w:tblPrEx>
        <w:trPr>
          <w:trHeight w:val="504"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2</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一种建筑物墙面免抹灰顺直阴阳角结构</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ZL201620773924.X</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马旭东、张迎跃、朱若愚、顾铭、陈卫民、李志彬、黄照猛、卢正兵、曹云权、唐绍辉</w:t>
            </w:r>
          </w:p>
        </w:tc>
      </w:tr>
      <w:tr>
        <w:tblPrEx>
          <w:tblLayout w:type="fixed"/>
          <w:tblCellMar>
            <w:top w:w="0" w:type="dxa"/>
            <w:left w:w="108" w:type="dxa"/>
            <w:bottom w:w="0" w:type="dxa"/>
            <w:right w:w="108" w:type="dxa"/>
          </w:tblCellMar>
        </w:tblPrEx>
        <w:trPr>
          <w:trHeight w:val="504"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3</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一种抗裂及防空鼓的免抹灰砌体墙面结构</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ZL201620772892.1</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马旭东、李文涛、顾铭、欧阳文璟、徐金龙、李志彬、黄俊云、卢正兵、刘川、魏聪明</w:t>
            </w:r>
          </w:p>
        </w:tc>
      </w:tr>
      <w:tr>
        <w:tblPrEx>
          <w:tblLayout w:type="fixed"/>
          <w:tblCellMar>
            <w:top w:w="0" w:type="dxa"/>
            <w:left w:w="108" w:type="dxa"/>
            <w:bottom w:w="0" w:type="dxa"/>
            <w:right w:w="108" w:type="dxa"/>
          </w:tblCellMar>
        </w:tblPrEx>
        <w:trPr>
          <w:trHeight w:val="482"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4</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方便周转使用的后浇带支撑装置</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ZL201601006436.2</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毛得宝、马利波、黄树华、张宗亮、刘振、秦亚飞、刘博、李鹏程、王伟</w:t>
            </w:r>
          </w:p>
        </w:tc>
      </w:tr>
      <w:tr>
        <w:tblPrEx>
          <w:tblLayout w:type="fixed"/>
        </w:tblPrEx>
        <w:trPr>
          <w:trHeight w:val="482"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5</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一种防脱落的屋面防水结构</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ZL201620773189.2</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李志彬、徐金龙、张迎跃、宁宏翔、刘川、周春开、邱爽、刘建国、杨光元、吴兴盼</w:t>
            </w:r>
          </w:p>
        </w:tc>
      </w:tr>
      <w:tr>
        <w:tblPrEx>
          <w:tblLayout w:type="fixed"/>
          <w:tblCellMar>
            <w:top w:w="0" w:type="dxa"/>
            <w:left w:w="108" w:type="dxa"/>
            <w:bottom w:w="0" w:type="dxa"/>
            <w:right w:w="108" w:type="dxa"/>
          </w:tblCellMar>
        </w:tblPrEx>
        <w:trPr>
          <w:trHeight w:val="482"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6</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一种建筑物的对拉螺杆洞防渗漏结构专利</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ZL201620773764.9</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徐金龙、张迎跃、何泽军、顾铭、马旭东、赵鸿高、卢正兵、顾忠、李杰、唐绍辉</w:t>
            </w:r>
          </w:p>
        </w:tc>
      </w:tr>
      <w:tr>
        <w:tblPrEx>
          <w:tblLayout w:type="fixed"/>
          <w:tblCellMar>
            <w:top w:w="0" w:type="dxa"/>
            <w:left w:w="108" w:type="dxa"/>
            <w:bottom w:w="0" w:type="dxa"/>
            <w:right w:w="108" w:type="dxa"/>
          </w:tblCellMar>
        </w:tblPrEx>
        <w:trPr>
          <w:trHeight w:val="482"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7</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一种附着式升降脚手架防坠落安全保护装置专利</w:t>
            </w:r>
          </w:p>
        </w:tc>
        <w:tc>
          <w:tcPr>
            <w:tcW w:w="212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ascii="宋体" w:hAnsi="宋体" w:cs="仿宋_GB2312"/>
                <w:kern w:val="0"/>
                <w:szCs w:val="21"/>
              </w:rPr>
              <w:t>ZL201620773985.6</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实用新型</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周春开、张迎跃、马旭东、李鸿勋、刘川、邱爽、陈卫民、杨文燕、黄俊云、范安全</w:t>
            </w:r>
          </w:p>
        </w:tc>
      </w:tr>
      <w:tr>
        <w:tblPrEx>
          <w:tblLayout w:type="fixed"/>
          <w:tblCellMar>
            <w:top w:w="0" w:type="dxa"/>
            <w:left w:w="108" w:type="dxa"/>
            <w:bottom w:w="0" w:type="dxa"/>
            <w:right w:w="108" w:type="dxa"/>
          </w:tblCellMar>
        </w:tblPrEx>
        <w:trPr>
          <w:trHeight w:val="482" w:hRule="atLeast"/>
          <w:jc w:val="center"/>
        </w:trPr>
        <w:tc>
          <w:tcPr>
            <w:tcW w:w="76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8</w:t>
            </w:r>
          </w:p>
        </w:tc>
        <w:tc>
          <w:tcPr>
            <w:tcW w:w="198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桩基承台周边立面垫层工具式钢模及其施工方法</w:t>
            </w: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仿宋_GB2312"/>
                <w:kern w:val="0"/>
                <w:szCs w:val="21"/>
              </w:rPr>
            </w:pPr>
            <w:r>
              <w:rPr>
                <w:rFonts w:ascii="宋体" w:hAnsi="宋体" w:cs="仿宋_GB2312"/>
                <w:kern w:val="0"/>
                <w:szCs w:val="21"/>
              </w:rPr>
              <w:t>ZL201410414130.X</w:t>
            </w:r>
          </w:p>
        </w:tc>
        <w:tc>
          <w:tcPr>
            <w:tcW w:w="8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ascii="宋体" w:hAnsi="宋体" w:cs="仿宋_GB2312"/>
                <w:kern w:val="0"/>
                <w:szCs w:val="21"/>
              </w:rPr>
              <w:t>发明专利</w:t>
            </w:r>
          </w:p>
        </w:tc>
        <w:tc>
          <w:tcPr>
            <w:tcW w:w="382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仿宋_GB2312"/>
                <w:kern w:val="0"/>
                <w:szCs w:val="21"/>
              </w:rPr>
            </w:pPr>
            <w:r>
              <w:rPr>
                <w:rFonts w:hint="eastAsia"/>
                <w:szCs w:val="21"/>
              </w:rPr>
              <w:t>李红梅、方菊明、吴钧、罗如刚、欧阳文璟、陈云芬、刘建国、朱广鳌</w:t>
            </w:r>
          </w:p>
        </w:tc>
      </w:tr>
    </w:tbl>
    <w:p>
      <w:pPr>
        <w:numPr>
          <w:ilvl w:val="0"/>
          <w:numId w:val="1"/>
        </w:numPr>
        <w:spacing w:after="312" w:afterLines="100"/>
        <w:ind w:left="357" w:hanging="357"/>
        <w:rPr>
          <w:rFonts w:ascii="宋体" w:hAnsi="宋体" w:cs="宋体"/>
          <w:sz w:val="24"/>
          <w:szCs w:val="24"/>
        </w:rPr>
      </w:pPr>
      <w:r>
        <w:rPr>
          <w:rFonts w:ascii="宋体" w:hAnsi="宋体" w:cs="宋体"/>
          <w:sz w:val="24"/>
          <w:szCs w:val="24"/>
        </w:rPr>
        <w:t>已获得批准的工法</w:t>
      </w:r>
    </w:p>
    <w:tbl>
      <w:tblPr>
        <w:tblStyle w:val="12"/>
        <w:tblW w:w="9967" w:type="dxa"/>
        <w:jc w:val="center"/>
        <w:tblInd w:w="0" w:type="dxa"/>
        <w:tblLayout w:type="fixed"/>
        <w:tblCellMar>
          <w:top w:w="0" w:type="dxa"/>
          <w:left w:w="108" w:type="dxa"/>
          <w:bottom w:w="0" w:type="dxa"/>
          <w:right w:w="108" w:type="dxa"/>
        </w:tblCellMar>
      </w:tblPr>
      <w:tblGrid>
        <w:gridCol w:w="755"/>
        <w:gridCol w:w="3210"/>
        <w:gridCol w:w="1605"/>
        <w:gridCol w:w="802"/>
        <w:gridCol w:w="3595"/>
      </w:tblGrid>
      <w:tr>
        <w:tblPrEx>
          <w:tblLayout w:type="fixed"/>
          <w:tblCellMar>
            <w:top w:w="0" w:type="dxa"/>
            <w:left w:w="108" w:type="dxa"/>
            <w:bottom w:w="0" w:type="dxa"/>
            <w:right w:w="108" w:type="dxa"/>
          </w:tblCellMar>
        </w:tblPrEx>
        <w:trPr>
          <w:trHeight w:val="357" w:hRule="atLeast"/>
          <w:jc w:val="center"/>
        </w:trPr>
        <w:tc>
          <w:tcPr>
            <w:tcW w:w="755" w:type="dxa"/>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序号</w:t>
            </w:r>
          </w:p>
        </w:tc>
        <w:tc>
          <w:tcPr>
            <w:tcW w:w="3210" w:type="dxa"/>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工法名称</w:t>
            </w:r>
          </w:p>
        </w:tc>
        <w:tc>
          <w:tcPr>
            <w:tcW w:w="1605" w:type="dxa"/>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工法编号</w:t>
            </w:r>
          </w:p>
        </w:tc>
        <w:tc>
          <w:tcPr>
            <w:tcW w:w="802" w:type="dxa"/>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级别</w:t>
            </w:r>
          </w:p>
        </w:tc>
        <w:tc>
          <w:tcPr>
            <w:tcW w:w="3595" w:type="dxa"/>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完成人</w:t>
            </w:r>
          </w:p>
        </w:tc>
      </w:tr>
      <w:tr>
        <w:tblPrEx>
          <w:tblLayout w:type="fixed"/>
          <w:tblCellMar>
            <w:top w:w="0" w:type="dxa"/>
            <w:left w:w="108" w:type="dxa"/>
            <w:bottom w:w="0" w:type="dxa"/>
            <w:right w:w="108" w:type="dxa"/>
          </w:tblCellMar>
        </w:tblPrEx>
        <w:trPr>
          <w:trHeight w:val="544" w:hRule="atLeast"/>
          <w:jc w:val="center"/>
        </w:trPr>
        <w:tc>
          <w:tcPr>
            <w:tcW w:w="75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1</w:t>
            </w:r>
          </w:p>
        </w:tc>
        <w:tc>
          <w:tcPr>
            <w:tcW w:w="321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混凝土砌块墙面免抹灰施工工法</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szCs w:val="21"/>
              </w:rPr>
              <w:t>YNGF359(2011)</w:t>
            </w:r>
          </w:p>
        </w:tc>
        <w:tc>
          <w:tcPr>
            <w:tcW w:w="802"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省级</w:t>
            </w:r>
          </w:p>
        </w:tc>
        <w:tc>
          <w:tcPr>
            <w:tcW w:w="359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张伟、孙孝富、赵毅、陈建伟、秦峻高</w:t>
            </w:r>
          </w:p>
        </w:tc>
      </w:tr>
      <w:tr>
        <w:tblPrEx>
          <w:tblLayout w:type="fixed"/>
          <w:tblCellMar>
            <w:top w:w="0" w:type="dxa"/>
            <w:left w:w="108" w:type="dxa"/>
            <w:bottom w:w="0" w:type="dxa"/>
            <w:right w:w="108" w:type="dxa"/>
          </w:tblCellMar>
        </w:tblPrEx>
        <w:trPr>
          <w:trHeight w:val="526" w:hRule="atLeast"/>
          <w:jc w:val="center"/>
        </w:trPr>
        <w:tc>
          <w:tcPr>
            <w:tcW w:w="75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2</w:t>
            </w:r>
          </w:p>
        </w:tc>
        <w:tc>
          <w:tcPr>
            <w:tcW w:w="321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大型基础底板钢筋型钢支撑体系施工工法</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szCs w:val="21"/>
              </w:rPr>
              <w:t>YNGF417(2012)</w:t>
            </w:r>
          </w:p>
        </w:tc>
        <w:tc>
          <w:tcPr>
            <w:tcW w:w="802"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省级</w:t>
            </w:r>
          </w:p>
        </w:tc>
        <w:tc>
          <w:tcPr>
            <w:tcW w:w="359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李红梅、施旭升、罗如刚、杨绍国、刘建国</w:t>
            </w:r>
          </w:p>
        </w:tc>
      </w:tr>
      <w:tr>
        <w:tblPrEx>
          <w:tblLayout w:type="fixed"/>
          <w:tblCellMar>
            <w:top w:w="0" w:type="dxa"/>
            <w:left w:w="108" w:type="dxa"/>
            <w:bottom w:w="0" w:type="dxa"/>
            <w:right w:w="108" w:type="dxa"/>
          </w:tblCellMar>
        </w:tblPrEx>
        <w:trPr>
          <w:trHeight w:val="396" w:hRule="atLeast"/>
          <w:jc w:val="center"/>
        </w:trPr>
        <w:tc>
          <w:tcPr>
            <w:tcW w:w="75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3</w:t>
            </w:r>
          </w:p>
        </w:tc>
        <w:tc>
          <w:tcPr>
            <w:tcW w:w="321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梁板后浇带工具式独立管支撑施工工法</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szCs w:val="21"/>
              </w:rPr>
              <w:t>YNGF534(2013)</w:t>
            </w:r>
          </w:p>
        </w:tc>
        <w:tc>
          <w:tcPr>
            <w:tcW w:w="802"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省级</w:t>
            </w:r>
          </w:p>
        </w:tc>
        <w:tc>
          <w:tcPr>
            <w:tcW w:w="359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杨绍坤、赵永、陆波、黄厚寓、赵永刚</w:t>
            </w:r>
          </w:p>
        </w:tc>
      </w:tr>
      <w:tr>
        <w:tblPrEx>
          <w:tblLayout w:type="fixed"/>
          <w:tblCellMar>
            <w:top w:w="0" w:type="dxa"/>
            <w:left w:w="108" w:type="dxa"/>
            <w:bottom w:w="0" w:type="dxa"/>
            <w:right w:w="108" w:type="dxa"/>
          </w:tblCellMar>
        </w:tblPrEx>
        <w:trPr>
          <w:trHeight w:val="706" w:hRule="atLeast"/>
          <w:jc w:val="center"/>
        </w:trPr>
        <w:tc>
          <w:tcPr>
            <w:tcW w:w="75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4</w:t>
            </w:r>
          </w:p>
        </w:tc>
        <w:tc>
          <w:tcPr>
            <w:tcW w:w="321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附着式升降脚手架与电动施工升降平台一体化应用施工工法</w:t>
            </w:r>
          </w:p>
        </w:tc>
        <w:tc>
          <w:tcPr>
            <w:tcW w:w="160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szCs w:val="21"/>
              </w:rPr>
              <w:t>YNGF570(2014)</w:t>
            </w:r>
          </w:p>
        </w:tc>
        <w:tc>
          <w:tcPr>
            <w:tcW w:w="802"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省级</w:t>
            </w:r>
          </w:p>
        </w:tc>
        <w:tc>
          <w:tcPr>
            <w:tcW w:w="3595"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熊英、姜传库、张玉金、刘建国 、梁选</w:t>
            </w:r>
          </w:p>
        </w:tc>
      </w:tr>
    </w:tbl>
    <w:p>
      <w:pPr>
        <w:numPr>
          <w:ilvl w:val="0"/>
          <w:numId w:val="1"/>
        </w:numPr>
        <w:spacing w:after="312" w:afterLines="100" w:line="440" w:lineRule="exact"/>
        <w:ind w:left="357" w:hanging="357"/>
        <w:rPr>
          <w:rFonts w:ascii="宋体" w:hAnsi="宋体" w:cs="宋体"/>
          <w:sz w:val="24"/>
          <w:szCs w:val="24"/>
        </w:rPr>
      </w:pPr>
      <w:r>
        <w:rPr>
          <w:rFonts w:ascii="宋体" w:hAnsi="宋体" w:cs="宋体"/>
          <w:sz w:val="24"/>
          <w:szCs w:val="24"/>
        </w:rPr>
        <w:t>已发表的论文</w:t>
      </w:r>
    </w:p>
    <w:tbl>
      <w:tblPr>
        <w:tblStyle w:val="12"/>
        <w:tblW w:w="9921" w:type="dxa"/>
        <w:jc w:val="center"/>
        <w:tblInd w:w="0" w:type="dxa"/>
        <w:tblLayout w:type="fixed"/>
        <w:tblCellMar>
          <w:top w:w="0" w:type="dxa"/>
          <w:left w:w="108" w:type="dxa"/>
          <w:bottom w:w="0" w:type="dxa"/>
          <w:right w:w="108" w:type="dxa"/>
        </w:tblCellMar>
      </w:tblPr>
      <w:tblGrid>
        <w:gridCol w:w="673"/>
        <w:gridCol w:w="3740"/>
        <w:gridCol w:w="1840"/>
        <w:gridCol w:w="1479"/>
        <w:gridCol w:w="2189"/>
      </w:tblGrid>
      <w:tr>
        <w:tblPrEx>
          <w:tblLayout w:type="fixed"/>
          <w:tblCellMar>
            <w:top w:w="0" w:type="dxa"/>
            <w:left w:w="108" w:type="dxa"/>
            <w:bottom w:w="0" w:type="dxa"/>
            <w:right w:w="108" w:type="dxa"/>
          </w:tblCellMar>
        </w:tblPrEx>
        <w:trPr>
          <w:trHeight w:val="387" w:hRule="atLeast"/>
          <w:jc w:val="center"/>
        </w:trPr>
        <w:tc>
          <w:tcPr>
            <w:tcW w:w="6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序号</w:t>
            </w:r>
          </w:p>
        </w:tc>
        <w:tc>
          <w:tcPr>
            <w:tcW w:w="37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ascii="宋体" w:hAnsi="宋体" w:cs="仿宋_GB2312"/>
                <w:szCs w:val="21"/>
              </w:rPr>
              <w:t>论文</w:t>
            </w:r>
            <w:r>
              <w:rPr>
                <w:rFonts w:hint="eastAsia" w:ascii="宋体" w:hAnsi="宋体" w:cs="仿宋_GB2312"/>
                <w:szCs w:val="21"/>
              </w:rPr>
              <w:t>名称</w:t>
            </w:r>
          </w:p>
        </w:tc>
        <w:tc>
          <w:tcPr>
            <w:tcW w:w="18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刊物名称</w:t>
            </w:r>
          </w:p>
        </w:tc>
        <w:tc>
          <w:tcPr>
            <w:tcW w:w="147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发表日间</w:t>
            </w:r>
          </w:p>
        </w:tc>
        <w:tc>
          <w:tcPr>
            <w:tcW w:w="218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完成人</w:t>
            </w:r>
          </w:p>
        </w:tc>
      </w:tr>
      <w:tr>
        <w:tblPrEx>
          <w:tblLayout w:type="fixed"/>
          <w:tblCellMar>
            <w:top w:w="0" w:type="dxa"/>
            <w:left w:w="108" w:type="dxa"/>
            <w:bottom w:w="0" w:type="dxa"/>
            <w:right w:w="108" w:type="dxa"/>
          </w:tblCellMar>
        </w:tblPrEx>
        <w:trPr>
          <w:trHeight w:val="920" w:hRule="atLeast"/>
          <w:jc w:val="center"/>
        </w:trPr>
        <w:tc>
          <w:tcPr>
            <w:tcW w:w="6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1</w:t>
            </w:r>
          </w:p>
        </w:tc>
        <w:tc>
          <w:tcPr>
            <w:tcW w:w="374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昆明市2013年市级统建保障性住房项目银河片区综合施工控制技术</w:t>
            </w:r>
          </w:p>
        </w:tc>
        <w:tc>
          <w:tcPr>
            <w:tcW w:w="184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云南建投科技</w:t>
            </w:r>
          </w:p>
          <w:p>
            <w:pPr>
              <w:widowControl/>
              <w:jc w:val="center"/>
              <w:rPr>
                <w:szCs w:val="21"/>
              </w:rPr>
            </w:pPr>
          </w:p>
        </w:tc>
        <w:tc>
          <w:tcPr>
            <w:tcW w:w="1479"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2016年8月（第1期）</w:t>
            </w:r>
          </w:p>
          <w:p>
            <w:pPr>
              <w:widowControl/>
              <w:jc w:val="center"/>
              <w:rPr>
                <w:szCs w:val="21"/>
              </w:rPr>
            </w:pPr>
          </w:p>
        </w:tc>
        <w:tc>
          <w:tcPr>
            <w:tcW w:w="2189"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徐金龙</w:t>
            </w:r>
          </w:p>
        </w:tc>
      </w:tr>
      <w:tr>
        <w:tblPrEx>
          <w:tblLayout w:type="fixed"/>
          <w:tblCellMar>
            <w:top w:w="0" w:type="dxa"/>
            <w:left w:w="108" w:type="dxa"/>
            <w:bottom w:w="0" w:type="dxa"/>
            <w:right w:w="108" w:type="dxa"/>
          </w:tblCellMar>
        </w:tblPrEx>
        <w:trPr>
          <w:trHeight w:val="910" w:hRule="atLeast"/>
          <w:jc w:val="center"/>
        </w:trPr>
        <w:tc>
          <w:tcPr>
            <w:tcW w:w="6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2</w:t>
            </w:r>
          </w:p>
        </w:tc>
        <w:tc>
          <w:tcPr>
            <w:tcW w:w="374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基于BIM技术的施工场地布置研究与应用</w:t>
            </w:r>
          </w:p>
        </w:tc>
        <w:tc>
          <w:tcPr>
            <w:tcW w:w="1840"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土木建筑工程信息技术</w:t>
            </w:r>
          </w:p>
        </w:tc>
        <w:tc>
          <w:tcPr>
            <w:tcW w:w="1479"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2017年2月(第9卷第1期)</w:t>
            </w:r>
          </w:p>
        </w:tc>
        <w:tc>
          <w:tcPr>
            <w:tcW w:w="2189" w:type="dxa"/>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李飞、刘宇恒、杨成、杨光元、屠剑飞</w:t>
            </w:r>
          </w:p>
        </w:tc>
      </w:tr>
    </w:tbl>
    <w:p>
      <w:pPr>
        <w:numPr>
          <w:ilvl w:val="0"/>
          <w:numId w:val="1"/>
        </w:numPr>
        <w:spacing w:after="312" w:afterLines="100" w:line="440" w:lineRule="exact"/>
        <w:ind w:left="357" w:hanging="357"/>
        <w:rPr>
          <w:rFonts w:ascii="宋体" w:hAnsi="宋体" w:cs="宋体"/>
          <w:sz w:val="24"/>
          <w:szCs w:val="24"/>
        </w:rPr>
      </w:pPr>
      <w:r>
        <w:rPr>
          <w:rFonts w:ascii="宋体" w:hAnsi="宋体" w:cs="宋体"/>
          <w:sz w:val="24"/>
          <w:szCs w:val="24"/>
        </w:rPr>
        <w:t>已</w:t>
      </w:r>
      <w:r>
        <w:rPr>
          <w:rFonts w:hint="eastAsia" w:ascii="宋体" w:hAnsi="宋体" w:cs="宋体"/>
          <w:sz w:val="24"/>
          <w:szCs w:val="24"/>
        </w:rPr>
        <w:t>获得科技奖励</w:t>
      </w:r>
    </w:p>
    <w:tbl>
      <w:tblPr>
        <w:tblStyle w:val="12"/>
        <w:tblW w:w="10153" w:type="dxa"/>
        <w:jc w:val="center"/>
        <w:tblInd w:w="-672" w:type="dxa"/>
        <w:tblLayout w:type="fixed"/>
        <w:tblCellMar>
          <w:top w:w="0" w:type="dxa"/>
          <w:left w:w="108" w:type="dxa"/>
          <w:bottom w:w="0" w:type="dxa"/>
          <w:right w:w="108" w:type="dxa"/>
        </w:tblCellMar>
      </w:tblPr>
      <w:tblGrid>
        <w:gridCol w:w="773"/>
        <w:gridCol w:w="7007"/>
        <w:gridCol w:w="2373"/>
      </w:tblGrid>
      <w:tr>
        <w:tblPrEx>
          <w:tblLayout w:type="fixed"/>
          <w:tblCellMar>
            <w:top w:w="0" w:type="dxa"/>
            <w:left w:w="108" w:type="dxa"/>
            <w:bottom w:w="0" w:type="dxa"/>
            <w:right w:w="108" w:type="dxa"/>
          </w:tblCellMar>
        </w:tblPrEx>
        <w:trPr>
          <w:trHeight w:val="303" w:hRule="atLeast"/>
          <w:jc w:val="center"/>
        </w:trPr>
        <w:tc>
          <w:tcPr>
            <w:tcW w:w="7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序号</w:t>
            </w:r>
          </w:p>
        </w:tc>
        <w:tc>
          <w:tcPr>
            <w:tcW w:w="7007" w:type="dxa"/>
            <w:tcBorders>
              <w:top w:val="sing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科技奖励名称</w:t>
            </w:r>
          </w:p>
        </w:tc>
        <w:tc>
          <w:tcPr>
            <w:tcW w:w="2373" w:type="dxa"/>
            <w:tcBorders>
              <w:top w:val="single" w:color="000000" w:sz="4" w:space="0"/>
              <w:left w:val="single" w:color="auto" w:sz="4" w:space="0"/>
              <w:bottom w:val="single" w:color="000000" w:sz="4" w:space="0"/>
              <w:right w:val="single" w:color="000000" w:sz="4" w:space="0"/>
            </w:tcBorders>
            <w:vAlign w:val="center"/>
          </w:tcPr>
          <w:p>
            <w:pPr>
              <w:autoSpaceDN w:val="0"/>
              <w:jc w:val="center"/>
              <w:textAlignment w:val="center"/>
              <w:rPr>
                <w:rFonts w:ascii="宋体" w:hAnsi="宋体" w:cs="仿宋_GB2312"/>
                <w:szCs w:val="21"/>
              </w:rPr>
            </w:pPr>
            <w:r>
              <w:rPr>
                <w:rFonts w:hint="eastAsia" w:ascii="宋体" w:hAnsi="宋体" w:cs="仿宋_GB2312"/>
                <w:szCs w:val="21"/>
              </w:rPr>
              <w:t>获得时间</w:t>
            </w:r>
          </w:p>
        </w:tc>
      </w:tr>
      <w:tr>
        <w:tblPrEx>
          <w:tblLayout w:type="fixed"/>
          <w:tblCellMar>
            <w:top w:w="0" w:type="dxa"/>
            <w:left w:w="108" w:type="dxa"/>
            <w:bottom w:w="0" w:type="dxa"/>
            <w:right w:w="108" w:type="dxa"/>
          </w:tblCellMar>
        </w:tblPrEx>
        <w:trPr>
          <w:trHeight w:val="436" w:hRule="atLeast"/>
          <w:jc w:val="center"/>
        </w:trPr>
        <w:tc>
          <w:tcPr>
            <w:tcW w:w="7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szCs w:val="21"/>
              </w:rPr>
            </w:pPr>
            <w:r>
              <w:rPr>
                <w:rFonts w:hint="eastAsia"/>
                <w:szCs w:val="21"/>
              </w:rPr>
              <w:t>1</w:t>
            </w:r>
          </w:p>
        </w:tc>
        <w:tc>
          <w:tcPr>
            <w:tcW w:w="7007" w:type="dxa"/>
            <w:tcBorders>
              <w:top w:val="single" w:color="000000" w:sz="4" w:space="0"/>
              <w:left w:val="single" w:color="000000" w:sz="4" w:space="0"/>
              <w:bottom w:val="single" w:color="000000" w:sz="4" w:space="0"/>
              <w:right w:val="single" w:color="auto" w:sz="4" w:space="0"/>
            </w:tcBorders>
            <w:vAlign w:val="center"/>
          </w:tcPr>
          <w:p>
            <w:pPr>
              <w:spacing w:line="460" w:lineRule="exact"/>
              <w:jc w:val="center"/>
              <w:rPr>
                <w:szCs w:val="21"/>
              </w:rPr>
            </w:pPr>
            <w:r>
              <w:rPr>
                <w:rFonts w:hint="eastAsia"/>
                <w:szCs w:val="21"/>
              </w:rPr>
              <w:t>云南省建设投</w:t>
            </w:r>
            <w:r>
              <w:rPr>
                <w:szCs w:val="21"/>
              </w:rPr>
              <w:t>资控股集团有限公司</w:t>
            </w:r>
            <w:r>
              <w:rPr>
                <w:rFonts w:hint="eastAsia"/>
                <w:szCs w:val="21"/>
              </w:rPr>
              <w:t>科技进步一等奖</w:t>
            </w:r>
          </w:p>
        </w:tc>
        <w:tc>
          <w:tcPr>
            <w:tcW w:w="2373" w:type="dxa"/>
            <w:tcBorders>
              <w:top w:val="single" w:color="000000" w:sz="4" w:space="0"/>
              <w:left w:val="single" w:color="auto" w:sz="4" w:space="0"/>
              <w:bottom w:val="single" w:color="000000" w:sz="4" w:space="0"/>
              <w:right w:val="single" w:color="000000" w:sz="4" w:space="0"/>
            </w:tcBorders>
            <w:vAlign w:val="center"/>
          </w:tcPr>
          <w:p>
            <w:pPr>
              <w:spacing w:line="460" w:lineRule="exact"/>
              <w:jc w:val="center"/>
              <w:rPr>
                <w:szCs w:val="21"/>
              </w:rPr>
            </w:pPr>
            <w:r>
              <w:rPr>
                <w:rFonts w:hint="eastAsia"/>
                <w:szCs w:val="21"/>
              </w:rPr>
              <w:t>2017年3月</w:t>
            </w:r>
          </w:p>
        </w:tc>
      </w:tr>
      <w:tr>
        <w:tblPrEx>
          <w:tblLayout w:type="fixed"/>
          <w:tblCellMar>
            <w:top w:w="0" w:type="dxa"/>
            <w:left w:w="108" w:type="dxa"/>
            <w:bottom w:w="0" w:type="dxa"/>
            <w:right w:w="108" w:type="dxa"/>
          </w:tblCellMar>
        </w:tblPrEx>
        <w:trPr>
          <w:trHeight w:val="432" w:hRule="atLeast"/>
          <w:jc w:val="center"/>
        </w:trPr>
        <w:tc>
          <w:tcPr>
            <w:tcW w:w="7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szCs w:val="21"/>
              </w:rPr>
            </w:pPr>
            <w:r>
              <w:rPr>
                <w:rFonts w:hint="eastAsia"/>
                <w:szCs w:val="21"/>
              </w:rPr>
              <w:t>2</w:t>
            </w:r>
          </w:p>
        </w:tc>
        <w:tc>
          <w:tcPr>
            <w:tcW w:w="7007" w:type="dxa"/>
            <w:tcBorders>
              <w:top w:val="single" w:color="000000" w:sz="4" w:space="0"/>
              <w:left w:val="single" w:color="000000" w:sz="4" w:space="0"/>
              <w:bottom w:val="single" w:color="000000" w:sz="4" w:space="0"/>
              <w:right w:val="single" w:color="auto" w:sz="4" w:space="0"/>
            </w:tcBorders>
            <w:vAlign w:val="center"/>
          </w:tcPr>
          <w:p>
            <w:pPr>
              <w:spacing w:line="460" w:lineRule="exact"/>
              <w:jc w:val="center"/>
              <w:rPr>
                <w:szCs w:val="21"/>
              </w:rPr>
            </w:pPr>
            <w:r>
              <w:rPr>
                <w:rFonts w:hint="eastAsia"/>
                <w:szCs w:val="21"/>
              </w:rPr>
              <w:t>中国建设工程BIM大赛单项一等奖--“BIM技术在润城第二大道施工中的应用</w:t>
            </w:r>
          </w:p>
        </w:tc>
        <w:tc>
          <w:tcPr>
            <w:tcW w:w="2373" w:type="dxa"/>
            <w:tcBorders>
              <w:top w:val="single" w:color="000000" w:sz="4" w:space="0"/>
              <w:left w:val="single" w:color="auto" w:sz="4" w:space="0"/>
              <w:bottom w:val="single" w:color="000000" w:sz="4" w:space="0"/>
              <w:right w:val="single" w:color="000000" w:sz="4" w:space="0"/>
            </w:tcBorders>
            <w:vAlign w:val="center"/>
          </w:tcPr>
          <w:p>
            <w:pPr>
              <w:spacing w:line="460" w:lineRule="exact"/>
              <w:jc w:val="center"/>
              <w:rPr>
                <w:szCs w:val="21"/>
              </w:rPr>
            </w:pPr>
            <w:r>
              <w:rPr>
                <w:rFonts w:hint="eastAsia"/>
                <w:szCs w:val="21"/>
              </w:rPr>
              <w:t>2015年12月</w:t>
            </w:r>
          </w:p>
        </w:tc>
      </w:tr>
    </w:tbl>
    <w:p>
      <w:pPr>
        <w:spacing w:line="360" w:lineRule="auto"/>
        <w:rPr>
          <w:rFonts w:ascii="宋体" w:hAnsi="宋体"/>
          <w:b/>
          <w:sz w:val="28"/>
          <w:szCs w:val="28"/>
        </w:rPr>
      </w:pPr>
    </w:p>
    <w:p>
      <w:pPr>
        <w:spacing w:line="360" w:lineRule="auto"/>
        <w:jc w:val="center"/>
        <w:rPr>
          <w:rFonts w:ascii="宋体" w:hAnsi="宋体"/>
          <w:b/>
          <w:sz w:val="28"/>
          <w:szCs w:val="28"/>
        </w:rPr>
      </w:pPr>
    </w:p>
    <w:p>
      <w:pPr>
        <w:spacing w:line="360" w:lineRule="auto"/>
        <w:ind w:firstLine="420" w:firstLineChars="200"/>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75E3C"/>
    <w:multiLevelType w:val="multilevel"/>
    <w:tmpl w:val="57575E3C"/>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2A1"/>
    <w:rsid w:val="00013FD7"/>
    <w:rsid w:val="000252CC"/>
    <w:rsid w:val="00077531"/>
    <w:rsid w:val="000942AE"/>
    <w:rsid w:val="000A48F4"/>
    <w:rsid w:val="000C0D37"/>
    <w:rsid w:val="0012748D"/>
    <w:rsid w:val="001374EE"/>
    <w:rsid w:val="001433E4"/>
    <w:rsid w:val="001466D9"/>
    <w:rsid w:val="00181930"/>
    <w:rsid w:val="001D149E"/>
    <w:rsid w:val="0027161E"/>
    <w:rsid w:val="002B693F"/>
    <w:rsid w:val="00443471"/>
    <w:rsid w:val="004750BB"/>
    <w:rsid w:val="004F45BF"/>
    <w:rsid w:val="005D6EBB"/>
    <w:rsid w:val="005E7E9C"/>
    <w:rsid w:val="00603B26"/>
    <w:rsid w:val="00635F34"/>
    <w:rsid w:val="006365CC"/>
    <w:rsid w:val="006B1594"/>
    <w:rsid w:val="006B3D89"/>
    <w:rsid w:val="006C25BA"/>
    <w:rsid w:val="006E76BC"/>
    <w:rsid w:val="00722DD4"/>
    <w:rsid w:val="00744FB5"/>
    <w:rsid w:val="00746C24"/>
    <w:rsid w:val="0078662F"/>
    <w:rsid w:val="007956F1"/>
    <w:rsid w:val="007B530F"/>
    <w:rsid w:val="008F20F0"/>
    <w:rsid w:val="009562FD"/>
    <w:rsid w:val="009707D3"/>
    <w:rsid w:val="009E6719"/>
    <w:rsid w:val="009F5F4A"/>
    <w:rsid w:val="00A33632"/>
    <w:rsid w:val="00A7639D"/>
    <w:rsid w:val="00A7745D"/>
    <w:rsid w:val="00AB0485"/>
    <w:rsid w:val="00AC3742"/>
    <w:rsid w:val="00AC4EAC"/>
    <w:rsid w:val="00B243E6"/>
    <w:rsid w:val="00BB5D4A"/>
    <w:rsid w:val="00BE535D"/>
    <w:rsid w:val="00BF0A57"/>
    <w:rsid w:val="00C0012E"/>
    <w:rsid w:val="00C042A1"/>
    <w:rsid w:val="00C23F87"/>
    <w:rsid w:val="00C7057F"/>
    <w:rsid w:val="00C86D62"/>
    <w:rsid w:val="00CC43A8"/>
    <w:rsid w:val="00CE38D7"/>
    <w:rsid w:val="00CE593A"/>
    <w:rsid w:val="00D46688"/>
    <w:rsid w:val="00D7048C"/>
    <w:rsid w:val="00D75BC7"/>
    <w:rsid w:val="00D9264D"/>
    <w:rsid w:val="00DD129D"/>
    <w:rsid w:val="00E2759E"/>
    <w:rsid w:val="00E62314"/>
    <w:rsid w:val="00ED52B4"/>
    <w:rsid w:val="00EE1990"/>
    <w:rsid w:val="00F005CD"/>
    <w:rsid w:val="00F17C0F"/>
    <w:rsid w:val="00F9739D"/>
    <w:rsid w:val="00FA5F63"/>
    <w:rsid w:val="00FC5406"/>
    <w:rsid w:val="1ACF2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9">
    <w:name w:val="Default Paragraph Font"/>
    <w:unhideWhenUsed/>
    <w:uiPriority w:val="1"/>
  </w:style>
  <w:style w:type="table" w:default="1" w:styleId="12">
    <w:name w:val="Normal Table"/>
    <w:unhideWhenUsed/>
    <w:uiPriority w:val="99"/>
    <w:tblPr>
      <w:tblLayout w:type="fixed"/>
      <w:tblCellMar>
        <w:top w:w="0" w:type="dxa"/>
        <w:left w:w="108" w:type="dxa"/>
        <w:bottom w:w="0" w:type="dxa"/>
        <w:right w:w="108" w:type="dxa"/>
      </w:tblCellMar>
    </w:tblPr>
  </w:style>
  <w:style w:type="paragraph" w:styleId="3">
    <w:name w:val="Body Text"/>
    <w:basedOn w:val="1"/>
    <w:link w:val="18"/>
    <w:qFormat/>
    <w:uiPriority w:val="0"/>
    <w:pPr>
      <w:spacing w:after="120"/>
    </w:pPr>
    <w:rPr>
      <w:rFonts w:ascii="宋体" w:hAnsi="宋体" w:eastAsia="宋体" w:cs="宋体"/>
      <w:sz w:val="28"/>
      <w:szCs w:val="28"/>
    </w:rPr>
  </w:style>
  <w:style w:type="paragraph" w:styleId="4">
    <w:name w:val="Date"/>
    <w:basedOn w:val="1"/>
    <w:next w:val="1"/>
    <w:link w:val="17"/>
    <w:unhideWhenUsed/>
    <w:uiPriority w:val="99"/>
    <w:pPr>
      <w:ind w:left="100" w:leftChars="2500"/>
    </w:p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9"/>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bCs/>
    </w:rPr>
  </w:style>
  <w:style w:type="character" w:styleId="11">
    <w:name w:val="Hyperlink"/>
    <w:basedOn w:val="9"/>
    <w:unhideWhenUsed/>
    <w:uiPriority w:val="99"/>
    <w:rPr>
      <w:color w:val="333333"/>
      <w:u w:val="none"/>
    </w:rPr>
  </w:style>
  <w:style w:type="character" w:customStyle="1" w:styleId="13">
    <w:name w:val="页眉 Char"/>
    <w:basedOn w:val="9"/>
    <w:link w:val="6"/>
    <w:uiPriority w:val="99"/>
    <w:rPr>
      <w:sz w:val="18"/>
      <w:szCs w:val="18"/>
    </w:rPr>
  </w:style>
  <w:style w:type="character" w:customStyle="1" w:styleId="14">
    <w:name w:val="页脚 Char"/>
    <w:basedOn w:val="9"/>
    <w:link w:val="5"/>
    <w:uiPriority w:val="99"/>
    <w:rPr>
      <w:sz w:val="18"/>
      <w:szCs w:val="18"/>
    </w:rPr>
  </w:style>
  <w:style w:type="character" w:customStyle="1" w:styleId="15">
    <w:name w:val="标题 1 Char"/>
    <w:basedOn w:val="9"/>
    <w:link w:val="2"/>
    <w:uiPriority w:val="9"/>
    <w:rPr>
      <w:b/>
      <w:bCs/>
      <w:kern w:val="44"/>
      <w:sz w:val="44"/>
      <w:szCs w:val="44"/>
    </w:rPr>
  </w:style>
  <w:style w:type="paragraph" w:customStyle="1" w:styleId="16">
    <w:name w:val="List Paragraph"/>
    <w:basedOn w:val="1"/>
    <w:qFormat/>
    <w:uiPriority w:val="34"/>
    <w:pPr>
      <w:ind w:firstLine="420" w:firstLineChars="200"/>
    </w:pPr>
  </w:style>
  <w:style w:type="character" w:customStyle="1" w:styleId="17">
    <w:name w:val="日期 Char"/>
    <w:basedOn w:val="9"/>
    <w:link w:val="4"/>
    <w:semiHidden/>
    <w:uiPriority w:val="99"/>
  </w:style>
  <w:style w:type="character" w:customStyle="1" w:styleId="18">
    <w:name w:val="正文文本 Char"/>
    <w:basedOn w:val="9"/>
    <w:link w:val="3"/>
    <w:locked/>
    <w:uiPriority w:val="0"/>
    <w:rPr>
      <w:rFonts w:ascii="宋体" w:hAnsi="宋体" w:eastAsia="宋体" w:cs="宋体"/>
      <w:sz w:val="28"/>
      <w:szCs w:val="28"/>
    </w:rPr>
  </w:style>
  <w:style w:type="character" w:customStyle="1" w:styleId="19">
    <w:name w:val="HTML 预设格式 Char"/>
    <w:basedOn w:val="9"/>
    <w:link w:val="7"/>
    <w:uiPriority w:val="0"/>
    <w:rPr>
      <w:rFonts w:ascii="宋体" w:hAnsi="宋体" w:eastAsia="宋体" w:cs="宋体"/>
      <w:kern w:val="0"/>
      <w:sz w:val="24"/>
      <w:szCs w:val="24"/>
    </w:rPr>
  </w:style>
  <w:style w:type="character" w:customStyle="1" w:styleId="20">
    <w:name w:val="正文文本 Char1"/>
    <w:basedOn w:val="9"/>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30</Pages>
  <Words>2579</Words>
  <Characters>14705</Characters>
  <Lines>122</Lines>
  <Paragraphs>34</Paragraphs>
  <TotalTime>0</TotalTime>
  <ScaleCrop>false</ScaleCrop>
  <LinksUpToDate>false</LinksUpToDate>
  <CharactersWithSpaces>17250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2017-04-25T04:09:00Z</dcterms:created>
  <dc:creator>Administrator</dc:creator>
  <cp:lastModifiedBy>梁曜</cp:lastModifiedBy>
  <dcterms:modified xsi:type="dcterms:W3CDTF">2017-04-25T07:07:56Z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